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708D9" w14:textId="3DF02F02" w:rsidR="00FC16D8" w:rsidRPr="00A61F74" w:rsidRDefault="00457D20" w:rsidP="00457D20">
      <w:pPr>
        <w:pStyle w:val="Paragrafoelenco"/>
        <w:spacing w:after="0"/>
        <w:ind w:left="284"/>
        <w:jc w:val="center"/>
        <w:rPr>
          <w:b/>
          <w:bCs/>
        </w:rPr>
      </w:pPr>
      <w:r w:rsidRPr="00A61F74">
        <w:rPr>
          <w:b/>
          <w:bCs/>
        </w:rPr>
        <w:t>DDL BILANCIO 2023 E DOCUMENTO PROGRAMMATICO DI BILANCIO</w:t>
      </w:r>
    </w:p>
    <w:p w14:paraId="424826AF" w14:textId="31564BDC" w:rsidR="00457D20" w:rsidRPr="00A61F74" w:rsidRDefault="00457D20" w:rsidP="00457D20">
      <w:pPr>
        <w:pStyle w:val="Paragrafoelenco"/>
        <w:spacing w:after="0"/>
        <w:ind w:left="284"/>
        <w:jc w:val="center"/>
        <w:rPr>
          <w:b/>
          <w:bCs/>
        </w:rPr>
      </w:pPr>
      <w:r w:rsidRPr="00A61F74">
        <w:rPr>
          <w:b/>
          <w:bCs/>
        </w:rPr>
        <w:t xml:space="preserve">Approvazione </w:t>
      </w:r>
      <w:r w:rsidR="006F12E7" w:rsidRPr="00A61F74">
        <w:rPr>
          <w:b/>
          <w:bCs/>
        </w:rPr>
        <w:t>del Consiglio dei Ministri n. 5 del 21 novembre 2022</w:t>
      </w:r>
    </w:p>
    <w:p w14:paraId="56A9031F" w14:textId="2CE9B20D" w:rsidR="006F12E7" w:rsidRPr="00A61F74" w:rsidRDefault="006F12E7" w:rsidP="00457D20">
      <w:pPr>
        <w:pStyle w:val="Paragrafoelenco"/>
        <w:spacing w:after="0"/>
        <w:ind w:left="284"/>
        <w:jc w:val="center"/>
        <w:rPr>
          <w:b/>
          <w:bCs/>
        </w:rPr>
      </w:pPr>
    </w:p>
    <w:p w14:paraId="1C6064E2" w14:textId="4E71159D" w:rsidR="006F12E7" w:rsidRPr="00A61F74" w:rsidRDefault="006F12E7" w:rsidP="00457D20">
      <w:pPr>
        <w:pStyle w:val="Paragrafoelenco"/>
        <w:spacing w:after="0"/>
        <w:ind w:left="284"/>
        <w:jc w:val="center"/>
        <w:rPr>
          <w:b/>
          <w:bCs/>
        </w:rPr>
      </w:pPr>
      <w:r w:rsidRPr="00A61F74">
        <w:rPr>
          <w:b/>
          <w:bCs/>
        </w:rPr>
        <w:t xml:space="preserve">Misure </w:t>
      </w:r>
      <w:r w:rsidR="001F2846" w:rsidRPr="00A61F74">
        <w:rPr>
          <w:b/>
          <w:bCs/>
        </w:rPr>
        <w:t xml:space="preserve">contro il caro-energia </w:t>
      </w:r>
      <w:r w:rsidR="00A61F74" w:rsidRPr="00A61F74">
        <w:rPr>
          <w:b/>
          <w:bCs/>
        </w:rPr>
        <w:t>a carico dei produttori di energia</w:t>
      </w:r>
    </w:p>
    <w:p w14:paraId="0B5851AF" w14:textId="56426045" w:rsidR="00457D20" w:rsidRDefault="00457D20" w:rsidP="00A37967">
      <w:pPr>
        <w:pStyle w:val="Paragrafoelenco"/>
        <w:spacing w:after="0"/>
        <w:ind w:left="284"/>
        <w:jc w:val="both"/>
      </w:pPr>
    </w:p>
    <w:p w14:paraId="4B740BA9" w14:textId="0D3E58CA" w:rsidR="00457D20" w:rsidRDefault="00FB4738" w:rsidP="005212FB">
      <w:pPr>
        <w:pStyle w:val="Paragrafoelenco"/>
        <w:spacing w:after="0"/>
        <w:ind w:left="0"/>
        <w:jc w:val="both"/>
      </w:pPr>
      <w:r>
        <w:t xml:space="preserve">Lo scorso </w:t>
      </w:r>
      <w:r w:rsidR="00264C3B">
        <w:t xml:space="preserve">21 novembre il Consiglio dei Ministri ha approvato </w:t>
      </w:r>
      <w:r w:rsidR="002735B1" w:rsidRPr="002735B1">
        <w:t>il disegno di legge recante il bilancio di previsione dello Stato per l’anno finanziario 2023 e il bilancio pluriennale per il triennio 2023-2025 e l’aggiornamento del Documento programmatico di bilancio.</w:t>
      </w:r>
      <w:r w:rsidR="006F6B56">
        <w:t xml:space="preserve"> </w:t>
      </w:r>
      <w:r w:rsidR="006F6B56" w:rsidRPr="006F6B56">
        <w:rPr>
          <w:b/>
          <w:bCs/>
          <w:u w:val="single"/>
        </w:rPr>
        <w:t xml:space="preserve">Al momento non è disponile il testo del provvedimento licenziato dal </w:t>
      </w:r>
      <w:proofErr w:type="spellStart"/>
      <w:r w:rsidR="006F6B56" w:rsidRPr="006F6B56">
        <w:rPr>
          <w:b/>
          <w:bCs/>
          <w:u w:val="single"/>
        </w:rPr>
        <w:t>CdM</w:t>
      </w:r>
      <w:proofErr w:type="spellEnd"/>
      <w:r w:rsidR="006F6B56" w:rsidRPr="006F6B56">
        <w:rPr>
          <w:b/>
          <w:bCs/>
          <w:u w:val="single"/>
        </w:rPr>
        <w:t xml:space="preserve">, pertanto i commenti ed analisi di seguito sono da intendersi come preliminari e basati sulle informazioni circolate sui mezzi di stampa e sul comunicato della </w:t>
      </w:r>
      <w:proofErr w:type="spellStart"/>
      <w:r w:rsidR="006F6B56" w:rsidRPr="006F6B56">
        <w:rPr>
          <w:b/>
          <w:bCs/>
          <w:u w:val="single"/>
        </w:rPr>
        <w:t>PdC</w:t>
      </w:r>
      <w:proofErr w:type="spellEnd"/>
      <w:r w:rsidR="006F6B56">
        <w:t>.</w:t>
      </w:r>
    </w:p>
    <w:p w14:paraId="6B60A463" w14:textId="1C3D75F3" w:rsidR="00D47FEC" w:rsidRDefault="00D47FEC" w:rsidP="005212FB">
      <w:pPr>
        <w:pStyle w:val="Paragrafoelenco"/>
        <w:spacing w:after="0"/>
        <w:ind w:left="0"/>
        <w:jc w:val="both"/>
      </w:pPr>
    </w:p>
    <w:p w14:paraId="7CE29C21" w14:textId="15E9589C" w:rsidR="00BC7672" w:rsidRDefault="00525191" w:rsidP="005212FB">
      <w:pPr>
        <w:pStyle w:val="Paragrafoelenco"/>
        <w:spacing w:after="0"/>
        <w:ind w:left="0"/>
        <w:jc w:val="both"/>
      </w:pPr>
      <w:r>
        <w:t>Circa i due terzi</w:t>
      </w:r>
      <w:r w:rsidR="00BC7672">
        <w:t xml:space="preserve"> della manovra finanziaria </w:t>
      </w:r>
      <w:r>
        <w:t xml:space="preserve">sono dedicati </w:t>
      </w:r>
      <w:r w:rsidR="0035118F" w:rsidRPr="0035118F">
        <w:t>sugli interventi a sostegno di famiglie e imprese per contrastare il caro energia e l’aumento dell’inflazione.</w:t>
      </w:r>
    </w:p>
    <w:p w14:paraId="33F91B82" w14:textId="76A124F6" w:rsidR="00A00629" w:rsidRDefault="00A00629" w:rsidP="005212FB">
      <w:pPr>
        <w:pStyle w:val="Paragrafoelenco"/>
        <w:spacing w:after="0"/>
        <w:ind w:left="0"/>
        <w:jc w:val="both"/>
      </w:pPr>
    </w:p>
    <w:p w14:paraId="1F13F04C" w14:textId="6055ED88" w:rsidR="00A00629" w:rsidRDefault="00626FDB" w:rsidP="005212FB">
      <w:pPr>
        <w:pStyle w:val="Paragrafoelenco"/>
        <w:spacing w:after="0"/>
        <w:ind w:left="0"/>
        <w:jc w:val="both"/>
      </w:pPr>
      <w:r>
        <w:t xml:space="preserve">Tra le fonti finanziarie per </w:t>
      </w:r>
      <w:r w:rsidR="00670A78">
        <w:t>la manovra sono incluse due misure che, qualora confermate</w:t>
      </w:r>
      <w:r w:rsidR="00C32B83">
        <w:t xml:space="preserve">, andrebbero a colpire </w:t>
      </w:r>
      <w:r w:rsidR="00D64A01">
        <w:t>– tra l’altro -</w:t>
      </w:r>
      <w:r w:rsidR="00C32B83">
        <w:t xml:space="preserve"> </w:t>
      </w:r>
      <w:r w:rsidR="009B1DE5">
        <w:t>i produttori di energia elettrica da fonte rinnovabile</w:t>
      </w:r>
      <w:r w:rsidR="00D64A01">
        <w:t>.</w:t>
      </w:r>
    </w:p>
    <w:p w14:paraId="5B8671B1" w14:textId="4FC473BC" w:rsidR="00D64A01" w:rsidRDefault="00D64A01" w:rsidP="005212FB">
      <w:pPr>
        <w:pStyle w:val="Paragrafoelenco"/>
        <w:spacing w:after="0"/>
        <w:ind w:left="0"/>
        <w:jc w:val="both"/>
      </w:pPr>
    </w:p>
    <w:p w14:paraId="3E98C45F" w14:textId="6262229E" w:rsidR="00D64A01" w:rsidRDefault="00D64A01" w:rsidP="005212FB">
      <w:pPr>
        <w:pStyle w:val="Paragrafoelenco"/>
        <w:spacing w:after="0"/>
        <w:ind w:left="0"/>
        <w:jc w:val="both"/>
      </w:pPr>
      <w:r>
        <w:t xml:space="preserve">In primis, </w:t>
      </w:r>
      <w:r w:rsidR="00E440DF">
        <w:t xml:space="preserve">viene confermato il </w:t>
      </w:r>
      <w:r w:rsidR="007340A9">
        <w:t>“</w:t>
      </w:r>
      <w:proofErr w:type="spellStart"/>
      <w:r w:rsidR="007340A9" w:rsidRPr="005B05E4">
        <w:rPr>
          <w:b/>
          <w:bCs/>
        </w:rPr>
        <w:t>cap</w:t>
      </w:r>
      <w:proofErr w:type="spellEnd"/>
      <w:r w:rsidR="007340A9" w:rsidRPr="005B05E4">
        <w:rPr>
          <w:b/>
          <w:bCs/>
        </w:rPr>
        <w:t>” ai ricavi unitari complessivi da vendita di elettricità proveniente dalle tecnologie cosiddette “infra-marginali”</w:t>
      </w:r>
      <w:r w:rsidR="007340A9">
        <w:t xml:space="preserve">, che includono le fonti rinnovabili </w:t>
      </w:r>
      <w:r w:rsidR="00233CC1">
        <w:t>a bassi costi marginali quali eolico e solare.</w:t>
      </w:r>
    </w:p>
    <w:p w14:paraId="69D70128" w14:textId="369ADF6D" w:rsidR="00325CFF" w:rsidRDefault="00325CFF" w:rsidP="005212FB">
      <w:pPr>
        <w:pStyle w:val="Paragrafoelenco"/>
        <w:spacing w:after="0"/>
        <w:ind w:left="0"/>
        <w:jc w:val="both"/>
      </w:pPr>
      <w:r>
        <w:t xml:space="preserve">Il </w:t>
      </w:r>
      <w:proofErr w:type="spellStart"/>
      <w:r>
        <w:t>cap</w:t>
      </w:r>
      <w:proofErr w:type="spellEnd"/>
      <w:r w:rsidR="001D3543">
        <w:t xml:space="preserve">, peraltro già previsto </w:t>
      </w:r>
      <w:r w:rsidR="00F339F6">
        <w:t xml:space="preserve">all’articolo 6 del </w:t>
      </w:r>
      <w:r w:rsidR="0091254C" w:rsidRPr="00F339F6">
        <w:rPr>
          <w:b/>
          <w:bCs/>
        </w:rPr>
        <w:t xml:space="preserve">Regolamento del Consiglio </w:t>
      </w:r>
      <w:r w:rsidR="007C2D89" w:rsidRPr="00F339F6">
        <w:rPr>
          <w:b/>
          <w:bCs/>
        </w:rPr>
        <w:t>dell’Unione Europea n. (EU) 2022/1854</w:t>
      </w:r>
      <w:r w:rsidR="00E24758">
        <w:t xml:space="preserve"> (il Regolamento)</w:t>
      </w:r>
      <w:r w:rsidR="007C2D89">
        <w:t>, è fissato a 180 €/MWh</w:t>
      </w:r>
      <w:r w:rsidR="00085A9C">
        <w:t xml:space="preserve"> e dovrebbe comprendere ogni ricavo correlato alla vendita dell’elettricità</w:t>
      </w:r>
      <w:r w:rsidR="00635573">
        <w:t xml:space="preserve"> prodotta dalle suddette tecnologie</w:t>
      </w:r>
      <w:r w:rsidR="00BC5AB9">
        <w:t>.</w:t>
      </w:r>
    </w:p>
    <w:p w14:paraId="5854BBAC" w14:textId="1C595504" w:rsidR="0008671B" w:rsidRDefault="00BC5AB9" w:rsidP="005212FB">
      <w:pPr>
        <w:pStyle w:val="Paragrafoelenco"/>
        <w:spacing w:after="0"/>
        <w:ind w:left="0"/>
        <w:jc w:val="both"/>
      </w:pPr>
      <w:r>
        <w:t>Diversi dettagli non sono ancora disponibili</w:t>
      </w:r>
      <w:r w:rsidR="00E606C4">
        <w:t>, inclusi</w:t>
      </w:r>
      <w:r>
        <w:t>:</w:t>
      </w:r>
    </w:p>
    <w:p w14:paraId="650CDEE5" w14:textId="3D1C0E14" w:rsidR="00BC5AB9" w:rsidRDefault="00BC5AB9" w:rsidP="005212FB">
      <w:pPr>
        <w:pStyle w:val="Paragrafoelenco"/>
        <w:numPr>
          <w:ilvl w:val="0"/>
          <w:numId w:val="22"/>
        </w:numPr>
        <w:spacing w:after="0"/>
        <w:ind w:left="426"/>
        <w:jc w:val="both"/>
      </w:pPr>
      <w:r>
        <w:t xml:space="preserve">la decorrenza dell’applicazione, dal Regolamento fissata </w:t>
      </w:r>
      <w:r w:rsidR="00282181">
        <w:t xml:space="preserve">dal </w:t>
      </w:r>
      <w:r w:rsidR="009A4251">
        <w:t>1° dicembre</w:t>
      </w:r>
      <w:r w:rsidR="00282181">
        <w:t xml:space="preserve"> 2022 al</w:t>
      </w:r>
      <w:r w:rsidR="00530549">
        <w:t xml:space="preserve"> 30 giugno 2023</w:t>
      </w:r>
      <w:r w:rsidR="0008671B">
        <w:t>;</w:t>
      </w:r>
    </w:p>
    <w:p w14:paraId="4F232487" w14:textId="11A34EEA" w:rsidR="0008671B" w:rsidRDefault="0008671B" w:rsidP="005212FB">
      <w:pPr>
        <w:pStyle w:val="Paragrafoelenco"/>
        <w:numPr>
          <w:ilvl w:val="0"/>
          <w:numId w:val="22"/>
        </w:numPr>
        <w:spacing w:after="0"/>
        <w:ind w:left="426"/>
        <w:jc w:val="both"/>
      </w:pPr>
      <w:r>
        <w:t xml:space="preserve">l’eventuale inclusione dei </w:t>
      </w:r>
      <w:r w:rsidR="00E606C4">
        <w:t>costi/ricavi per sbilanciamenti e per l’eventuale partecipazione ai mercati dei servizi di dispacciamento</w:t>
      </w:r>
      <w:r w:rsidR="009A4251">
        <w:t>;</w:t>
      </w:r>
    </w:p>
    <w:p w14:paraId="55F3AF95" w14:textId="0303944E" w:rsidR="00A27900" w:rsidRDefault="009A4251" w:rsidP="005212FB">
      <w:pPr>
        <w:pStyle w:val="Paragrafoelenco"/>
        <w:numPr>
          <w:ilvl w:val="0"/>
          <w:numId w:val="22"/>
        </w:numPr>
        <w:spacing w:after="0"/>
        <w:ind w:left="426"/>
        <w:jc w:val="both"/>
      </w:pPr>
      <w:r>
        <w:t>le modalità applicative</w:t>
      </w:r>
      <w:r w:rsidR="008B1F68">
        <w:t xml:space="preserve">, che, per evitare distorsioni ed iniquità, dovrebbero tenere conto dei contratti derivati e PPA già sottoscritti e il costo profilo degli impianti. </w:t>
      </w:r>
    </w:p>
    <w:p w14:paraId="3B5D281D" w14:textId="77777777" w:rsidR="00D77D86" w:rsidRDefault="00D77D86" w:rsidP="00326E07">
      <w:pPr>
        <w:pStyle w:val="Paragrafoelenco"/>
        <w:spacing w:after="0"/>
        <w:ind w:left="426"/>
        <w:jc w:val="both"/>
      </w:pPr>
    </w:p>
    <w:p w14:paraId="0AF0E51E" w14:textId="5738BE86" w:rsidR="008B1F68" w:rsidRDefault="000D3EE7" w:rsidP="003B28B9">
      <w:pPr>
        <w:spacing w:after="0"/>
        <w:ind w:left="66"/>
        <w:jc w:val="both"/>
        <w:rPr>
          <w:u w:val="single"/>
        </w:rPr>
      </w:pPr>
      <w:r>
        <w:rPr>
          <w:u w:val="single"/>
        </w:rPr>
        <w:t>Occorre chiarire se tale</w:t>
      </w:r>
      <w:r w:rsidR="00FE3B4F" w:rsidRPr="005B05E4">
        <w:rPr>
          <w:u w:val="single"/>
        </w:rPr>
        <w:t xml:space="preserve"> </w:t>
      </w:r>
      <w:r>
        <w:rPr>
          <w:u w:val="single"/>
        </w:rPr>
        <w:t xml:space="preserve">misura </w:t>
      </w:r>
      <w:r w:rsidR="00CB3D2C" w:rsidRPr="005B05E4">
        <w:rPr>
          <w:u w:val="single"/>
        </w:rPr>
        <w:t>“</w:t>
      </w:r>
      <w:r w:rsidR="003208B2">
        <w:rPr>
          <w:u w:val="single"/>
        </w:rPr>
        <w:t>sostituirà</w:t>
      </w:r>
      <w:r w:rsidR="00CB3D2C" w:rsidRPr="005B05E4">
        <w:rPr>
          <w:u w:val="single"/>
        </w:rPr>
        <w:t xml:space="preserve">” quanto disposto </w:t>
      </w:r>
      <w:r w:rsidR="003E1C03" w:rsidRPr="005B05E4">
        <w:rPr>
          <w:u w:val="single"/>
        </w:rPr>
        <w:t xml:space="preserve">dall’art.15 bis del DL Aiuti </w:t>
      </w:r>
      <w:r w:rsidR="007B1D65" w:rsidRPr="005B05E4">
        <w:rPr>
          <w:u w:val="single"/>
        </w:rPr>
        <w:t xml:space="preserve">per alcune fattispecie di fonti rinnovabili (i.e. il </w:t>
      </w:r>
      <w:proofErr w:type="spellStart"/>
      <w:r w:rsidR="007B1D65" w:rsidRPr="005B05E4">
        <w:rPr>
          <w:u w:val="single"/>
        </w:rPr>
        <w:t>CfD</w:t>
      </w:r>
      <w:proofErr w:type="spellEnd"/>
      <w:r w:rsidR="007B1D65" w:rsidRPr="005B05E4">
        <w:rPr>
          <w:u w:val="single"/>
        </w:rPr>
        <w:t xml:space="preserve"> “obbligatorio” a 65 €</w:t>
      </w:r>
      <w:r w:rsidR="005B05E4" w:rsidRPr="005B05E4">
        <w:rPr>
          <w:u w:val="single"/>
        </w:rPr>
        <w:t>/MWh</w:t>
      </w:r>
      <w:r w:rsidR="003208B2">
        <w:rPr>
          <w:u w:val="single"/>
        </w:rPr>
        <w:t xml:space="preserve"> per alcune categorie di impianti rinnovabili</w:t>
      </w:r>
      <w:r w:rsidR="005B05E4" w:rsidRPr="005B05E4">
        <w:rPr>
          <w:u w:val="single"/>
        </w:rPr>
        <w:t>)</w:t>
      </w:r>
      <w:r w:rsidR="003208B2">
        <w:rPr>
          <w:u w:val="single"/>
        </w:rPr>
        <w:t xml:space="preserve"> ovvero si affiancherà alla stessa (più probabile la seconda opzione)</w:t>
      </w:r>
      <w:r w:rsidR="00F74948">
        <w:rPr>
          <w:u w:val="single"/>
        </w:rPr>
        <w:t>.</w:t>
      </w:r>
      <w:r w:rsidR="008B1F68">
        <w:rPr>
          <w:u w:val="single"/>
        </w:rPr>
        <w:t xml:space="preserve"> </w:t>
      </w:r>
    </w:p>
    <w:p w14:paraId="36F1FC2A" w14:textId="77777777" w:rsidR="00AB06FA" w:rsidRDefault="00AB06FA" w:rsidP="003B28B9">
      <w:pPr>
        <w:spacing w:after="0"/>
        <w:ind w:left="66"/>
        <w:jc w:val="both"/>
        <w:rPr>
          <w:u w:val="single"/>
        </w:rPr>
      </w:pPr>
    </w:p>
    <w:p w14:paraId="14747C38" w14:textId="34316388" w:rsidR="00FE3B4F" w:rsidRPr="00216310" w:rsidRDefault="006A61A6" w:rsidP="003B28B9">
      <w:pPr>
        <w:spacing w:after="0"/>
        <w:ind w:left="66"/>
        <w:jc w:val="both"/>
        <w:rPr>
          <w:color w:val="000000" w:themeColor="text1"/>
        </w:rPr>
      </w:pPr>
      <w:r w:rsidRPr="004F215F">
        <w:rPr>
          <w:color w:val="000000" w:themeColor="text1"/>
        </w:rPr>
        <w:t>L’impianto</w:t>
      </w:r>
      <w:r w:rsidR="008B1F68" w:rsidRPr="004F215F">
        <w:rPr>
          <w:color w:val="000000" w:themeColor="text1"/>
        </w:rPr>
        <w:t xml:space="preserve"> regolamentare dell’art 15 bis</w:t>
      </w:r>
      <w:r w:rsidRPr="004F215F">
        <w:rPr>
          <w:color w:val="000000" w:themeColor="text1"/>
        </w:rPr>
        <w:t xml:space="preserve"> è apprezzabile ma</w:t>
      </w:r>
      <w:r w:rsidR="008B1F68" w:rsidRPr="004F215F">
        <w:rPr>
          <w:color w:val="000000" w:themeColor="text1"/>
        </w:rPr>
        <w:t xml:space="preserve"> </w:t>
      </w:r>
      <w:r w:rsidRPr="004F215F">
        <w:rPr>
          <w:color w:val="000000" w:themeColor="text1"/>
        </w:rPr>
        <w:t>il</w:t>
      </w:r>
      <w:r w:rsidR="008B1F68" w:rsidRPr="004F215F">
        <w:rPr>
          <w:color w:val="000000" w:themeColor="text1"/>
        </w:rPr>
        <w:t xml:space="preserve"> mantenimento di un </w:t>
      </w:r>
      <w:proofErr w:type="spellStart"/>
      <w:r w:rsidR="008B1F68" w:rsidRPr="004F215F">
        <w:rPr>
          <w:color w:val="000000" w:themeColor="text1"/>
        </w:rPr>
        <w:t>cap</w:t>
      </w:r>
      <w:proofErr w:type="spellEnd"/>
      <w:r w:rsidR="008B1F68" w:rsidRPr="004F215F">
        <w:rPr>
          <w:color w:val="000000" w:themeColor="text1"/>
        </w:rPr>
        <w:t xml:space="preserve"> a 65€/</w:t>
      </w:r>
      <w:proofErr w:type="spellStart"/>
      <w:r w:rsidR="008B1F68" w:rsidRPr="004F215F">
        <w:rPr>
          <w:color w:val="000000" w:themeColor="text1"/>
        </w:rPr>
        <w:t>Mwh</w:t>
      </w:r>
      <w:proofErr w:type="spellEnd"/>
      <w:r w:rsidR="008B1F68" w:rsidRPr="004F215F">
        <w:rPr>
          <w:color w:val="000000" w:themeColor="text1"/>
        </w:rPr>
        <w:t xml:space="preserve"> per un tempo così prolungato</w:t>
      </w:r>
      <w:r w:rsidRPr="004F215F">
        <w:rPr>
          <w:color w:val="000000" w:themeColor="text1"/>
        </w:rPr>
        <w:t xml:space="preserve"> è iniquo</w:t>
      </w:r>
      <w:r w:rsidR="00AB06FA" w:rsidRPr="004F215F">
        <w:rPr>
          <w:color w:val="000000" w:themeColor="text1"/>
        </w:rPr>
        <w:t xml:space="preserve"> (</w:t>
      </w:r>
      <w:r w:rsidRPr="004F215F">
        <w:rPr>
          <w:color w:val="000000" w:themeColor="text1"/>
        </w:rPr>
        <w:t>inizialmente si trattava di</w:t>
      </w:r>
      <w:r w:rsidR="00AB06FA" w:rsidRPr="004F215F">
        <w:rPr>
          <w:color w:val="000000" w:themeColor="text1"/>
        </w:rPr>
        <w:t xml:space="preserve"> una misura temporanea </w:t>
      </w:r>
      <w:r w:rsidRPr="004F215F">
        <w:rPr>
          <w:color w:val="000000" w:themeColor="text1"/>
        </w:rPr>
        <w:t>che si prolungherà invece per un biennio</w:t>
      </w:r>
      <w:r w:rsidR="00AB06FA" w:rsidRPr="004F215F">
        <w:rPr>
          <w:color w:val="000000" w:themeColor="text1"/>
        </w:rPr>
        <w:t xml:space="preserve">), </w:t>
      </w:r>
      <w:r w:rsidR="00216310" w:rsidRPr="004F215F">
        <w:rPr>
          <w:color w:val="000000" w:themeColor="text1"/>
        </w:rPr>
        <w:t xml:space="preserve">e </w:t>
      </w:r>
      <w:r w:rsidR="008B1F68" w:rsidRPr="004F215F">
        <w:rPr>
          <w:color w:val="000000" w:themeColor="text1"/>
        </w:rPr>
        <w:t>inferiore al livello europeo</w:t>
      </w:r>
      <w:r w:rsidR="00216310" w:rsidRPr="004F215F">
        <w:rPr>
          <w:color w:val="000000" w:themeColor="text1"/>
        </w:rPr>
        <w:t>,</w:t>
      </w:r>
      <w:r w:rsidR="008B1F68" w:rsidRPr="004F215F">
        <w:rPr>
          <w:color w:val="000000" w:themeColor="text1"/>
        </w:rPr>
        <w:t xml:space="preserve"> </w:t>
      </w:r>
      <w:r w:rsidR="00216310" w:rsidRPr="004F215F">
        <w:rPr>
          <w:color w:val="000000" w:themeColor="text1"/>
        </w:rPr>
        <w:t>in particolare</w:t>
      </w:r>
      <w:r w:rsidR="008B1F68" w:rsidRPr="004F215F">
        <w:rPr>
          <w:color w:val="000000" w:themeColor="text1"/>
        </w:rPr>
        <w:t xml:space="preserve"> nell’attuale contesto di elevata inflazione e costo del denaro.</w:t>
      </w:r>
      <w:r w:rsidR="008B1F68" w:rsidRPr="00216310">
        <w:rPr>
          <w:color w:val="000000" w:themeColor="text1"/>
        </w:rPr>
        <w:t xml:space="preserve"> </w:t>
      </w:r>
    </w:p>
    <w:p w14:paraId="22F03251" w14:textId="035B1104" w:rsidR="00BC7672" w:rsidRPr="00216310" w:rsidRDefault="00BC7672" w:rsidP="003B28B9">
      <w:pPr>
        <w:pStyle w:val="Paragrafoelenco"/>
        <w:spacing w:after="0"/>
        <w:ind w:left="-360"/>
        <w:jc w:val="both"/>
        <w:rPr>
          <w:color w:val="000000" w:themeColor="text1"/>
        </w:rPr>
      </w:pPr>
    </w:p>
    <w:p w14:paraId="57A87BA7" w14:textId="4A1E9718" w:rsidR="00A27900" w:rsidRPr="00E40371" w:rsidRDefault="00A27900" w:rsidP="005212FB">
      <w:pPr>
        <w:pStyle w:val="Paragrafoelenco"/>
        <w:spacing w:after="0"/>
        <w:ind w:left="0"/>
        <w:jc w:val="both"/>
        <w:rPr>
          <w:b/>
          <w:bCs/>
        </w:rPr>
      </w:pPr>
      <w:r>
        <w:t xml:space="preserve">La seconda misura </w:t>
      </w:r>
      <w:r w:rsidR="00E40371">
        <w:t>dovrebbe consistere</w:t>
      </w:r>
      <w:r>
        <w:t xml:space="preserve"> in un </w:t>
      </w:r>
      <w:r w:rsidRPr="00E40371">
        <w:rPr>
          <w:b/>
          <w:bCs/>
        </w:rPr>
        <w:t>prelievo fiscale straordinario</w:t>
      </w:r>
      <w:r w:rsidR="00B93D2B" w:rsidRPr="00B93D2B">
        <w:rPr>
          <w:b/>
          <w:bCs/>
        </w:rPr>
        <w:t xml:space="preserve"> </w:t>
      </w:r>
      <w:r w:rsidR="00B93D2B" w:rsidRPr="00E40371">
        <w:rPr>
          <w:b/>
          <w:bCs/>
        </w:rPr>
        <w:t>del 35%</w:t>
      </w:r>
      <w:r w:rsidR="006D6ADB">
        <w:rPr>
          <w:b/>
          <w:bCs/>
        </w:rPr>
        <w:t xml:space="preserve">, a guisa di contributo solidaristico, </w:t>
      </w:r>
      <w:r w:rsidR="005B05E4" w:rsidRPr="00E40371">
        <w:rPr>
          <w:b/>
          <w:bCs/>
        </w:rPr>
        <w:t>calcolato sugli utili di impresa</w:t>
      </w:r>
      <w:r w:rsidR="00B93D2B">
        <w:rPr>
          <w:b/>
          <w:bCs/>
        </w:rPr>
        <w:t>.</w:t>
      </w:r>
      <w:r w:rsidR="00E40371" w:rsidRPr="00E40371">
        <w:rPr>
          <w:b/>
          <w:bCs/>
        </w:rPr>
        <w:t xml:space="preserve"> </w:t>
      </w:r>
    </w:p>
    <w:p w14:paraId="3D666203" w14:textId="7854E7D5" w:rsidR="00F87091" w:rsidRDefault="00E24758" w:rsidP="005212FB">
      <w:pPr>
        <w:pStyle w:val="Paragrafoelenco"/>
        <w:spacing w:after="0"/>
        <w:ind w:left="0"/>
        <w:jc w:val="both"/>
      </w:pPr>
      <w:r>
        <w:t>A tale proposito, il Regolamento prevede all’art. 14 che</w:t>
      </w:r>
      <w:r w:rsidR="00FB73BC">
        <w:t xml:space="preserve"> tale </w:t>
      </w:r>
      <w:r w:rsidR="006D6ADB">
        <w:t>contributo solidaristico</w:t>
      </w:r>
      <w:r w:rsidR="00B93D2B">
        <w:t xml:space="preserve"> </w:t>
      </w:r>
      <w:r w:rsidR="007355C1">
        <w:t>alle imprese operanti nei</w:t>
      </w:r>
      <w:r w:rsidR="00F87091">
        <w:t xml:space="preserve"> (soli)</w:t>
      </w:r>
      <w:r w:rsidR="007355C1">
        <w:t xml:space="preserve"> settori </w:t>
      </w:r>
      <w:r w:rsidR="007355C1" w:rsidRPr="00F87091">
        <w:rPr>
          <w:b/>
          <w:bCs/>
        </w:rPr>
        <w:t xml:space="preserve">petrolifero, </w:t>
      </w:r>
      <w:r w:rsidR="00F87091" w:rsidRPr="00F87091">
        <w:rPr>
          <w:b/>
          <w:bCs/>
        </w:rPr>
        <w:t>del gas naturale, del carbone e della raffinazione</w:t>
      </w:r>
      <w:r w:rsidR="00F87091">
        <w:t>.</w:t>
      </w:r>
    </w:p>
    <w:p w14:paraId="4B736501" w14:textId="78C25C47" w:rsidR="00F87091" w:rsidRDefault="003B4FE6" w:rsidP="005212FB">
      <w:pPr>
        <w:pStyle w:val="Paragrafoelenco"/>
        <w:spacing w:after="0"/>
        <w:ind w:left="0"/>
        <w:jc w:val="both"/>
      </w:pPr>
      <w:r>
        <w:lastRenderedPageBreak/>
        <w:t xml:space="preserve">Agli articoli 15 e </w:t>
      </w:r>
      <w:r w:rsidR="00F87091">
        <w:t>16</w:t>
      </w:r>
      <w:r>
        <w:t xml:space="preserve"> del </w:t>
      </w:r>
      <w:r w:rsidR="004C30FA">
        <w:t>Regolamento</w:t>
      </w:r>
      <w:r>
        <w:t xml:space="preserve">, è previsto </w:t>
      </w:r>
      <w:r w:rsidR="004C30FA">
        <w:t xml:space="preserve">che </w:t>
      </w:r>
      <w:r>
        <w:t xml:space="preserve">il contributo sia </w:t>
      </w:r>
      <w:r w:rsidR="00792EFC">
        <w:t xml:space="preserve">(i) </w:t>
      </w:r>
      <w:r w:rsidR="00A37DFA">
        <w:t xml:space="preserve">calcolato </w:t>
      </w:r>
      <w:r w:rsidR="00955724">
        <w:t>sugli</w:t>
      </w:r>
      <w:r w:rsidR="00A175E1">
        <w:t xml:space="preserve"> utili tassabili </w:t>
      </w:r>
      <w:r w:rsidR="00A37DFA">
        <w:t xml:space="preserve">dalle </w:t>
      </w:r>
      <w:r w:rsidR="00A37DFA" w:rsidRPr="005902EF">
        <w:rPr>
          <w:b/>
          <w:bCs/>
        </w:rPr>
        <w:t>norme fiscali nazionali</w:t>
      </w:r>
      <w:r w:rsidR="00A37DFA">
        <w:t xml:space="preserve">, (ii) </w:t>
      </w:r>
      <w:r w:rsidR="00955724">
        <w:t xml:space="preserve">riferito agli </w:t>
      </w:r>
      <w:r w:rsidR="00955724" w:rsidRPr="005902EF">
        <w:rPr>
          <w:b/>
          <w:bCs/>
        </w:rPr>
        <w:t>anni fiscali 2022 e/o 2023</w:t>
      </w:r>
      <w:r w:rsidR="0034571F">
        <w:rPr>
          <w:b/>
          <w:bCs/>
        </w:rPr>
        <w:t>,</w:t>
      </w:r>
      <w:r w:rsidR="00787A73">
        <w:t xml:space="preserve"> (iii) determinato come </w:t>
      </w:r>
      <w:r w:rsidR="00787A73" w:rsidRPr="002C56FC">
        <w:rPr>
          <w:b/>
          <w:bCs/>
        </w:rPr>
        <w:t>differenza</w:t>
      </w:r>
      <w:r w:rsidR="0035535E" w:rsidRPr="002C56FC">
        <w:rPr>
          <w:b/>
          <w:bCs/>
        </w:rPr>
        <w:t xml:space="preserve"> rispetto alla media </w:t>
      </w:r>
      <w:r w:rsidR="003C4413" w:rsidRPr="002C56FC">
        <w:rPr>
          <w:b/>
          <w:bCs/>
        </w:rPr>
        <w:t xml:space="preserve">degli utili </w:t>
      </w:r>
      <w:r w:rsidR="0034571F" w:rsidRPr="002C56FC">
        <w:rPr>
          <w:b/>
          <w:bCs/>
        </w:rPr>
        <w:t>di quattro anni a partire dal 2018</w:t>
      </w:r>
      <w:r w:rsidR="004B1C03">
        <w:rPr>
          <w:b/>
          <w:bCs/>
        </w:rPr>
        <w:t xml:space="preserve">, </w:t>
      </w:r>
      <w:r w:rsidR="004B1C03" w:rsidRPr="004B1C03">
        <w:t xml:space="preserve">(iv) </w:t>
      </w:r>
      <w:r w:rsidR="00E80941">
        <w:t>applicato</w:t>
      </w:r>
      <w:r w:rsidR="004B1C03">
        <w:rPr>
          <w:b/>
          <w:bCs/>
        </w:rPr>
        <w:t xml:space="preserve"> </w:t>
      </w:r>
      <w:r w:rsidR="004B1C03" w:rsidRPr="00667931">
        <w:t>qualora</w:t>
      </w:r>
      <w:r w:rsidR="004B1C03">
        <w:rPr>
          <w:b/>
          <w:bCs/>
        </w:rPr>
        <w:t xml:space="preserve"> </w:t>
      </w:r>
      <w:r w:rsidR="00667931">
        <w:t xml:space="preserve">tale differenza sia </w:t>
      </w:r>
      <w:r w:rsidR="00667931" w:rsidRPr="00E80941">
        <w:rPr>
          <w:b/>
          <w:bCs/>
        </w:rPr>
        <w:t>superiore al 20%</w:t>
      </w:r>
      <w:r w:rsidR="00667931">
        <w:t xml:space="preserve"> </w:t>
      </w:r>
      <w:r w:rsidR="004B1C03">
        <w:t>e</w:t>
      </w:r>
      <w:r w:rsidR="0034571F">
        <w:t xml:space="preserve"> (v) </w:t>
      </w:r>
      <w:r w:rsidR="00991ED2">
        <w:t xml:space="preserve">in misura </w:t>
      </w:r>
      <w:r w:rsidR="001F4FC3" w:rsidRPr="00991ED2">
        <w:rPr>
          <w:b/>
          <w:bCs/>
        </w:rPr>
        <w:t>pari o superiore al 33%</w:t>
      </w:r>
      <w:r w:rsidR="002C56FC" w:rsidRPr="00991ED2">
        <w:rPr>
          <w:b/>
          <w:bCs/>
        </w:rPr>
        <w:t>.</w:t>
      </w:r>
    </w:p>
    <w:p w14:paraId="66032CA8" w14:textId="3DEF3C9E" w:rsidR="00991ED2" w:rsidRDefault="00991ED2" w:rsidP="005212FB">
      <w:pPr>
        <w:spacing w:after="0"/>
        <w:jc w:val="both"/>
      </w:pPr>
    </w:p>
    <w:p w14:paraId="1DF55D0E" w14:textId="46903F95" w:rsidR="00991ED2" w:rsidRPr="0088696A" w:rsidRDefault="00991ED2" w:rsidP="005212FB">
      <w:pPr>
        <w:spacing w:after="0"/>
        <w:jc w:val="both"/>
        <w:rPr>
          <w:b/>
          <w:bCs/>
        </w:rPr>
      </w:pPr>
      <w:r>
        <w:t xml:space="preserve">In base alle </w:t>
      </w:r>
      <w:r w:rsidR="0000023E">
        <w:t xml:space="preserve">informazioni </w:t>
      </w:r>
      <w:r w:rsidR="0088696A">
        <w:t>disponibili</w:t>
      </w:r>
      <w:r w:rsidR="0000023E">
        <w:t xml:space="preserve">, </w:t>
      </w:r>
      <w:r w:rsidR="0000023E" w:rsidRPr="0088696A">
        <w:rPr>
          <w:b/>
          <w:bCs/>
        </w:rPr>
        <w:t xml:space="preserve">il Governo italiano intenderebbe invece applicare </w:t>
      </w:r>
      <w:r w:rsidR="007E47CB" w:rsidRPr="0088696A">
        <w:rPr>
          <w:b/>
          <w:bCs/>
        </w:rPr>
        <w:t>l’extra-tassazione a tutti i settori energetici, inclusa la generazione elettrica da fonte rinnovabile</w:t>
      </w:r>
      <w:r w:rsidR="00CC4ED2" w:rsidRPr="0088696A">
        <w:rPr>
          <w:b/>
          <w:bCs/>
        </w:rPr>
        <w:t>.</w:t>
      </w:r>
    </w:p>
    <w:p w14:paraId="5FCC4A7A" w14:textId="26DA0DE2" w:rsidR="00CC4ED2" w:rsidRDefault="00295EF0" w:rsidP="005212FB">
      <w:pPr>
        <w:spacing w:after="0"/>
        <w:jc w:val="both"/>
      </w:pPr>
      <w:r>
        <w:t xml:space="preserve">Tale modalità applicativa </w:t>
      </w:r>
      <w:r w:rsidR="005212FB">
        <w:t xml:space="preserve">sarebbe quindi in </w:t>
      </w:r>
      <w:r w:rsidR="005212FB" w:rsidRPr="005C637B">
        <w:rPr>
          <w:b/>
          <w:bCs/>
          <w:highlight w:val="yellow"/>
        </w:rPr>
        <w:t>palese contrasto con il dettato del Regolamento</w:t>
      </w:r>
      <w:r w:rsidR="005212FB">
        <w:t>, che senza alcun</w:t>
      </w:r>
      <w:r w:rsidR="00601685">
        <w:t xml:space="preserve"> dubbio limita l’applicazione della tassa ai soli settori indicati al</w:t>
      </w:r>
      <w:r w:rsidR="006312A3">
        <w:t>l’articolo 14, riservando già al settore elettrico delle rinnovabili il “</w:t>
      </w:r>
      <w:proofErr w:type="spellStart"/>
      <w:r w:rsidR="006312A3">
        <w:t>cap</w:t>
      </w:r>
      <w:proofErr w:type="spellEnd"/>
      <w:r w:rsidR="006312A3">
        <w:t>” a 180 €/MWh</w:t>
      </w:r>
      <w:r w:rsidR="00F339F6">
        <w:t xml:space="preserve"> </w:t>
      </w:r>
      <w:r w:rsidR="0088696A">
        <w:t>previsto all’art. 6.</w:t>
      </w:r>
    </w:p>
    <w:p w14:paraId="16535E96" w14:textId="17605EE9" w:rsidR="00BB11B3" w:rsidRDefault="00BB11B3" w:rsidP="005212FB">
      <w:pPr>
        <w:spacing w:after="0"/>
        <w:jc w:val="both"/>
      </w:pPr>
    </w:p>
    <w:p w14:paraId="4CD13FD5" w14:textId="4232B6F0" w:rsidR="00DE33D2" w:rsidRDefault="00DE33D2" w:rsidP="00DE33D2">
      <w:pPr>
        <w:spacing w:after="0"/>
        <w:jc w:val="both"/>
        <w:rPr>
          <w:b/>
          <w:bCs/>
        </w:rPr>
      </w:pPr>
      <w:r w:rsidRPr="00326E07">
        <w:t xml:space="preserve">Qualora confermato, il Governo italiano intenderebbe quindi </w:t>
      </w:r>
      <w:r w:rsidRPr="00326E07">
        <w:rPr>
          <w:b/>
          <w:bCs/>
        </w:rPr>
        <w:t>colpire doppiamente le rinnovabili</w:t>
      </w:r>
      <w:r w:rsidRPr="00326E07">
        <w:t xml:space="preserve"> sia con il </w:t>
      </w:r>
      <w:r w:rsidRPr="009F2229">
        <w:rPr>
          <w:highlight w:val="yellow"/>
        </w:rPr>
        <w:t>“</w:t>
      </w:r>
      <w:proofErr w:type="spellStart"/>
      <w:r w:rsidRPr="009F2229">
        <w:rPr>
          <w:highlight w:val="yellow"/>
        </w:rPr>
        <w:t>cap</w:t>
      </w:r>
      <w:proofErr w:type="spellEnd"/>
      <w:r w:rsidRPr="009F2229">
        <w:rPr>
          <w:highlight w:val="yellow"/>
        </w:rPr>
        <w:t>” a livello di prezzi di vendita a 180 euro</w:t>
      </w:r>
      <w:r w:rsidRPr="00326E07">
        <w:t xml:space="preserve"> (che sembrerebbe peraltro sommarsi al già vigente </w:t>
      </w:r>
      <w:proofErr w:type="spellStart"/>
      <w:r w:rsidRPr="00326E07">
        <w:t>cap</w:t>
      </w:r>
      <w:proofErr w:type="spellEnd"/>
      <w:r w:rsidRPr="00326E07">
        <w:t xml:space="preserve"> a 65€/MWh per art.15.bis) che con </w:t>
      </w:r>
      <w:r w:rsidRPr="009F2229">
        <w:rPr>
          <w:highlight w:val="yellow"/>
        </w:rPr>
        <w:t>l’extra-tassazione degli utili al 35%</w:t>
      </w:r>
      <w:r w:rsidRPr="00326E07">
        <w:t xml:space="preserve">, sovrapponendo così due misure che sono </w:t>
      </w:r>
      <w:r w:rsidRPr="00326E07">
        <w:rPr>
          <w:b/>
          <w:bCs/>
          <w:u w:val="single"/>
        </w:rPr>
        <w:t xml:space="preserve">concettualmente distinte e in contrasto tra loro in quanto con il </w:t>
      </w:r>
      <w:proofErr w:type="spellStart"/>
      <w:r w:rsidRPr="00326E07">
        <w:rPr>
          <w:b/>
          <w:bCs/>
          <w:u w:val="single"/>
        </w:rPr>
        <w:t>cap</w:t>
      </w:r>
      <w:proofErr w:type="spellEnd"/>
      <w:r w:rsidRPr="00326E07">
        <w:rPr>
          <w:b/>
          <w:bCs/>
          <w:u w:val="single"/>
        </w:rPr>
        <w:t xml:space="preserve"> ai ricavi vengono meno i presupposti per extra-profitti</w:t>
      </w:r>
      <w:r w:rsidR="00216310">
        <w:rPr>
          <w:b/>
          <w:bCs/>
          <w:u w:val="single"/>
        </w:rPr>
        <w:t>,</w:t>
      </w:r>
      <w:r w:rsidRPr="00326E07">
        <w:rPr>
          <w:b/>
          <w:bCs/>
        </w:rPr>
        <w:t xml:space="preserve"> perciò tale misura era stata pensata solo per il settore </w:t>
      </w:r>
      <w:proofErr w:type="spellStart"/>
      <w:r w:rsidRPr="00326E07">
        <w:rPr>
          <w:b/>
          <w:bCs/>
        </w:rPr>
        <w:t>oil</w:t>
      </w:r>
      <w:proofErr w:type="spellEnd"/>
      <w:r w:rsidRPr="00326E07">
        <w:rPr>
          <w:b/>
          <w:bCs/>
        </w:rPr>
        <w:t xml:space="preserve"> e gas che infatti non è soggetto al revenue cap.</w:t>
      </w:r>
      <w:r>
        <w:rPr>
          <w:b/>
          <w:bCs/>
        </w:rPr>
        <w:t xml:space="preserve"> </w:t>
      </w:r>
    </w:p>
    <w:p w14:paraId="43B5B2D7" w14:textId="77777777" w:rsidR="00DE33D2" w:rsidRDefault="00DE33D2" w:rsidP="005212FB">
      <w:pPr>
        <w:spacing w:after="0"/>
        <w:jc w:val="both"/>
      </w:pPr>
    </w:p>
    <w:p w14:paraId="263939AD" w14:textId="6BE581B6" w:rsidR="003F1BE8" w:rsidRPr="003F1BE8" w:rsidRDefault="00515C75" w:rsidP="005212FB">
      <w:pPr>
        <w:spacing w:after="0"/>
        <w:jc w:val="both"/>
      </w:pPr>
      <w:r w:rsidRPr="003F1BE8">
        <w:t xml:space="preserve">Tale posizione costituirebbe peraltro </w:t>
      </w:r>
      <w:r w:rsidRPr="009F2229">
        <w:rPr>
          <w:b/>
          <w:bCs/>
          <w:highlight w:val="yellow"/>
        </w:rPr>
        <w:t>un unicum tra gli Stati membri europei</w:t>
      </w:r>
      <w:r w:rsidR="003F1BE8" w:rsidRPr="009F2229">
        <w:rPr>
          <w:highlight w:val="yellow"/>
        </w:rPr>
        <w:t>, riservando all’Italia un altro triste primato.</w:t>
      </w:r>
    </w:p>
    <w:p w14:paraId="5EAE0B91" w14:textId="16E2CDCB" w:rsidR="003F1BE8" w:rsidRDefault="003F1BE8" w:rsidP="005212FB">
      <w:pPr>
        <w:spacing w:after="0"/>
        <w:jc w:val="both"/>
        <w:rPr>
          <w:b/>
          <w:bCs/>
        </w:rPr>
      </w:pPr>
    </w:p>
    <w:p w14:paraId="15FDA94F" w14:textId="0B4D6E64" w:rsidR="008B1F68" w:rsidRDefault="00004674" w:rsidP="005212FB">
      <w:pPr>
        <w:spacing w:after="0"/>
        <w:jc w:val="both"/>
      </w:pPr>
      <w:r w:rsidRPr="00414F0E">
        <w:t>Inoltre esiste</w:t>
      </w:r>
      <w:r w:rsidR="001479C2" w:rsidRPr="00414F0E">
        <w:t xml:space="preserve"> </w:t>
      </w:r>
      <w:r w:rsidR="00087412" w:rsidRPr="00414F0E">
        <w:t xml:space="preserve">il rischio </w:t>
      </w:r>
      <w:r w:rsidR="001479C2" w:rsidRPr="00414F0E">
        <w:t xml:space="preserve">che la misura invece di tassare gli extra-profitti </w:t>
      </w:r>
      <w:r w:rsidR="00087412" w:rsidRPr="00414F0E">
        <w:t>costituisca</w:t>
      </w:r>
      <w:r w:rsidRPr="00414F0E">
        <w:t xml:space="preserve"> </w:t>
      </w:r>
      <w:r w:rsidR="008B1F68" w:rsidRPr="00414F0E">
        <w:t>una tassazione sugli investimenti</w:t>
      </w:r>
      <w:r w:rsidRPr="00414F0E">
        <w:t>, ossia</w:t>
      </w:r>
      <w:r w:rsidR="008B1F68" w:rsidRPr="00414F0E">
        <w:t xml:space="preserve"> se il reddito ante imposte è superiore alla media storica perché le imprese hanno fatto investimenti (pensiamo ad un parco eolico entrato in esercizio nel 2021, oppure ad investimenti di revamping fatti in questo arco temporale)</w:t>
      </w:r>
      <w:r w:rsidR="00AB06FA" w:rsidRPr="00414F0E">
        <w:t xml:space="preserve"> la tassazione straordinaria </w:t>
      </w:r>
      <w:r w:rsidRPr="00414F0E">
        <w:t>risulterebbe</w:t>
      </w:r>
      <w:r w:rsidR="00AB06FA" w:rsidRPr="00414F0E">
        <w:t xml:space="preserve"> estremamente iniqua.</w:t>
      </w:r>
    </w:p>
    <w:p w14:paraId="3490B46A" w14:textId="2E66284A" w:rsidR="0088205D" w:rsidRDefault="0088205D" w:rsidP="005212FB">
      <w:pPr>
        <w:spacing w:after="0"/>
        <w:jc w:val="both"/>
      </w:pPr>
    </w:p>
    <w:p w14:paraId="617EF77B" w14:textId="2A2FCC30" w:rsidR="0088205D" w:rsidRPr="00F61EC3" w:rsidRDefault="0088205D" w:rsidP="00F61EC3">
      <w:pPr>
        <w:spacing w:after="0"/>
        <w:ind w:left="66"/>
        <w:jc w:val="both"/>
      </w:pPr>
      <w:r w:rsidRPr="00F61EC3">
        <w:t>In relazione all’art</w:t>
      </w:r>
      <w:r w:rsidR="009F2229">
        <w:t>.</w:t>
      </w:r>
      <w:bookmarkStart w:id="0" w:name="_GoBack"/>
      <w:bookmarkEnd w:id="0"/>
      <w:r w:rsidRPr="00F61EC3">
        <w:t xml:space="preserve"> 37 “extra-profitti” sul 2022 è da apprezzare l’esclusione delle operazioni straordinarie ma </w:t>
      </w:r>
      <w:r w:rsidR="00F61EC3" w:rsidRPr="00F61EC3">
        <w:t>vi è una generale delusion</w:t>
      </w:r>
      <w:r w:rsidR="00F61EC3">
        <w:t>e</w:t>
      </w:r>
      <w:r w:rsidR="00F61EC3" w:rsidRPr="00F61EC3">
        <w:t xml:space="preserve"> poiché l’esecutivo, </w:t>
      </w:r>
      <w:r w:rsidRPr="00F61EC3">
        <w:t xml:space="preserve">seppur rendendosi </w:t>
      </w:r>
      <w:r w:rsidR="00E60C87">
        <w:t>conto della “debolezza”</w:t>
      </w:r>
      <w:r w:rsidRPr="00F61EC3">
        <w:t xml:space="preserve"> della norma 2022 basata sui saldi IVA, </w:t>
      </w:r>
      <w:r w:rsidR="00F61EC3" w:rsidRPr="00F61EC3">
        <w:t>sembra non voler intervenire</w:t>
      </w:r>
      <w:r w:rsidRPr="00F61EC3">
        <w:t xml:space="preserve"> </w:t>
      </w:r>
      <w:r w:rsidR="00F61EC3" w:rsidRPr="00F61EC3">
        <w:t>correggendo</w:t>
      </w:r>
      <w:r w:rsidRPr="00F61EC3">
        <w:t xml:space="preserve"> la misura</w:t>
      </w:r>
      <w:r w:rsidR="00F61EC3" w:rsidRPr="00F61EC3">
        <w:t xml:space="preserve"> per</w:t>
      </w:r>
      <w:r w:rsidRPr="00F61EC3">
        <w:t xml:space="preserve"> riporta</w:t>
      </w:r>
      <w:r w:rsidR="00F61EC3" w:rsidRPr="00F61EC3">
        <w:t>rla</w:t>
      </w:r>
      <w:r w:rsidRPr="00F61EC3">
        <w:t xml:space="preserve"> ad una addizionale IRES come previsto per il 2023. </w:t>
      </w:r>
    </w:p>
    <w:p w14:paraId="5EE9114F" w14:textId="77777777" w:rsidR="0088205D" w:rsidRDefault="0088205D" w:rsidP="0088205D">
      <w:pPr>
        <w:pStyle w:val="Paragrafoelenco"/>
        <w:spacing w:after="0"/>
        <w:ind w:left="284"/>
        <w:contextualSpacing w:val="0"/>
        <w:jc w:val="center"/>
      </w:pPr>
    </w:p>
    <w:p w14:paraId="2E49E58F" w14:textId="77777777" w:rsidR="0088205D" w:rsidRDefault="0088205D" w:rsidP="0088205D">
      <w:pPr>
        <w:pStyle w:val="Paragrafoelenco"/>
        <w:spacing w:after="0"/>
        <w:ind w:left="284"/>
        <w:contextualSpacing w:val="0"/>
        <w:jc w:val="center"/>
      </w:pPr>
      <w:r>
        <w:t>***</w:t>
      </w:r>
    </w:p>
    <w:p w14:paraId="20247A4C" w14:textId="77777777" w:rsidR="0088205D" w:rsidRPr="00AA4A7F" w:rsidRDefault="0088205D" w:rsidP="005212FB">
      <w:pPr>
        <w:spacing w:after="0"/>
        <w:jc w:val="both"/>
      </w:pPr>
    </w:p>
    <w:p w14:paraId="65D08EE4" w14:textId="2DD2D8A3" w:rsidR="00AB06FA" w:rsidRDefault="00AB06FA" w:rsidP="005212FB">
      <w:pPr>
        <w:spacing w:after="0"/>
        <w:jc w:val="both"/>
        <w:rPr>
          <w:b/>
          <w:bCs/>
        </w:rPr>
      </w:pPr>
    </w:p>
    <w:p w14:paraId="458F5823" w14:textId="77777777" w:rsidR="007001C4" w:rsidRDefault="000D78CF" w:rsidP="000D78CF">
      <w:pPr>
        <w:spacing w:after="0"/>
        <w:jc w:val="both"/>
      </w:pPr>
      <w:r>
        <w:t xml:space="preserve">Stupirebbe </w:t>
      </w:r>
      <w:r w:rsidR="001C55CB">
        <w:t xml:space="preserve">quindi la profonda discriminazione che il nostro Paese riserverebbe alle </w:t>
      </w:r>
      <w:r w:rsidR="001C55CB" w:rsidRPr="003E5A72">
        <w:rPr>
          <w:b/>
          <w:bCs/>
        </w:rPr>
        <w:t>fonti rinnovabili, che come noto costituiscono l’unic</w:t>
      </w:r>
      <w:r w:rsidR="00F6704F" w:rsidRPr="003E5A72">
        <w:rPr>
          <w:b/>
          <w:bCs/>
        </w:rPr>
        <w:t>a</w:t>
      </w:r>
      <w:r w:rsidR="001C55CB" w:rsidRPr="003E5A72">
        <w:rPr>
          <w:b/>
          <w:bCs/>
        </w:rPr>
        <w:t xml:space="preserve"> ver</w:t>
      </w:r>
      <w:r w:rsidR="00F6704F" w:rsidRPr="003E5A72">
        <w:rPr>
          <w:b/>
          <w:bCs/>
        </w:rPr>
        <w:t>a alternativa</w:t>
      </w:r>
      <w:r w:rsidR="00F6704F">
        <w:t xml:space="preserve"> per conseguire </w:t>
      </w:r>
      <w:r w:rsidR="00407636">
        <w:t>contemporaneamente</w:t>
      </w:r>
      <w:r w:rsidR="007001C4">
        <w:t>:</w:t>
      </w:r>
    </w:p>
    <w:p w14:paraId="0575D585" w14:textId="625C0BAB" w:rsidR="007001C4" w:rsidRDefault="007001C4" w:rsidP="00D9387F">
      <w:pPr>
        <w:pStyle w:val="Paragrafoelenco"/>
        <w:numPr>
          <w:ilvl w:val="0"/>
          <w:numId w:val="23"/>
        </w:numPr>
        <w:spacing w:after="0"/>
        <w:ind w:left="426"/>
        <w:jc w:val="both"/>
      </w:pPr>
      <w:r>
        <w:t>l</w:t>
      </w:r>
      <w:r w:rsidR="00407636">
        <w:t xml:space="preserve">a drastica riduzione del costo dell’elettricità, </w:t>
      </w:r>
    </w:p>
    <w:p w14:paraId="08C48BCA" w14:textId="4046A8F9" w:rsidR="007001C4" w:rsidRDefault="007001C4" w:rsidP="00D9387F">
      <w:pPr>
        <w:pStyle w:val="Paragrafoelenco"/>
        <w:numPr>
          <w:ilvl w:val="0"/>
          <w:numId w:val="23"/>
        </w:numPr>
        <w:spacing w:after="0"/>
        <w:ind w:left="426"/>
        <w:jc w:val="both"/>
      </w:pPr>
      <w:r>
        <w:t xml:space="preserve">la decarbonizzazione dell’energia secondo gli obiettivi vincolanti adottati a livello nazionale e </w:t>
      </w:r>
      <w:r w:rsidR="00D9387F">
        <w:t>comunitario</w:t>
      </w:r>
      <w:r w:rsidR="00621FA7">
        <w:t>,</w:t>
      </w:r>
    </w:p>
    <w:p w14:paraId="43AA201E" w14:textId="77777777" w:rsidR="00621FA7" w:rsidRDefault="00621FA7" w:rsidP="00D9387F">
      <w:pPr>
        <w:pStyle w:val="Paragrafoelenco"/>
        <w:numPr>
          <w:ilvl w:val="0"/>
          <w:numId w:val="23"/>
        </w:numPr>
        <w:spacing w:after="0"/>
        <w:ind w:left="426"/>
        <w:jc w:val="both"/>
      </w:pPr>
      <w:r>
        <w:t>l’incremento della sicurezza energetica del Paese.</w:t>
      </w:r>
    </w:p>
    <w:p w14:paraId="1BAE13DF" w14:textId="20E762FD" w:rsidR="00621FA7" w:rsidRDefault="00621FA7" w:rsidP="00621FA7">
      <w:pPr>
        <w:spacing w:after="0"/>
        <w:ind w:left="66"/>
        <w:jc w:val="both"/>
      </w:pPr>
    </w:p>
    <w:p w14:paraId="198AA7CC" w14:textId="2B998191" w:rsidR="00DB7246" w:rsidRDefault="00F27865" w:rsidP="00632B52">
      <w:pPr>
        <w:spacing w:after="0"/>
        <w:ind w:left="66"/>
        <w:jc w:val="both"/>
        <w:rPr>
          <w:b/>
          <w:bCs/>
        </w:rPr>
      </w:pPr>
      <w:r>
        <w:t xml:space="preserve">Soprattutto, </w:t>
      </w:r>
      <w:r w:rsidR="00DB7246">
        <w:t>un</w:t>
      </w:r>
      <w:r>
        <w:t xml:space="preserve"> tale </w:t>
      </w:r>
      <w:r w:rsidR="00DB7246" w:rsidRPr="00DB7246">
        <w:rPr>
          <w:b/>
          <w:bCs/>
        </w:rPr>
        <w:t xml:space="preserve">“accanimento regolatorio” </w:t>
      </w:r>
      <w:r w:rsidR="00DB7246" w:rsidRPr="003E5A72">
        <w:t>a danno delle rinnovabili</w:t>
      </w:r>
      <w:r w:rsidR="00DB7246">
        <w:t xml:space="preserve"> </w:t>
      </w:r>
      <w:r w:rsidRPr="003E5A72">
        <w:rPr>
          <w:b/>
          <w:bCs/>
        </w:rPr>
        <w:t xml:space="preserve">scoraggerebbe ulteriormente </w:t>
      </w:r>
      <w:r w:rsidR="00632B52" w:rsidRPr="003E5A72">
        <w:rPr>
          <w:b/>
          <w:bCs/>
        </w:rPr>
        <w:t xml:space="preserve">gli investitori </w:t>
      </w:r>
      <w:r w:rsidR="00DB7246" w:rsidRPr="003E5A72">
        <w:rPr>
          <w:b/>
          <w:bCs/>
        </w:rPr>
        <w:t>del settore</w:t>
      </w:r>
      <w:r w:rsidR="00632B52">
        <w:t xml:space="preserve">, mortificando la possibilità di </w:t>
      </w:r>
      <w:r w:rsidR="00A37967">
        <w:t>mettere a terra nuov</w:t>
      </w:r>
      <w:r w:rsidR="00A17D2A">
        <w:t xml:space="preserve">a capacità </w:t>
      </w:r>
      <w:r w:rsidR="00A17D2A" w:rsidRPr="00A17D2A">
        <w:rPr>
          <w:i/>
          <w:iCs/>
        </w:rPr>
        <w:lastRenderedPageBreak/>
        <w:t>green</w:t>
      </w:r>
      <w:r w:rsidR="00A17D2A">
        <w:t xml:space="preserve"> </w:t>
      </w:r>
      <w:r w:rsidR="00632B52">
        <w:t xml:space="preserve">ed </w:t>
      </w:r>
      <w:r w:rsidR="00632B52" w:rsidRPr="00A17D2A">
        <w:rPr>
          <w:b/>
          <w:bCs/>
        </w:rPr>
        <w:t>allontanando oltre misura la possibilità di traguardare gli obiettivi di incidenza delle FER</w:t>
      </w:r>
      <w:r w:rsidR="00DB7246" w:rsidRPr="00A17D2A">
        <w:rPr>
          <w:b/>
          <w:bCs/>
        </w:rPr>
        <w:t xml:space="preserve"> al 2030.</w:t>
      </w:r>
    </w:p>
    <w:p w14:paraId="3B0C52CB" w14:textId="77777777" w:rsidR="007A2391" w:rsidRPr="00A17D2A" w:rsidRDefault="007A2391" w:rsidP="00632B52">
      <w:pPr>
        <w:spacing w:after="0"/>
        <w:ind w:left="66"/>
        <w:jc w:val="both"/>
        <w:rPr>
          <w:b/>
          <w:bCs/>
        </w:rPr>
      </w:pPr>
    </w:p>
    <w:p w14:paraId="756D3179" w14:textId="5487371F" w:rsidR="00A37967" w:rsidRDefault="00C12D45" w:rsidP="00C12D45">
      <w:pPr>
        <w:spacing w:after="0"/>
        <w:ind w:left="66"/>
        <w:jc w:val="both"/>
      </w:pPr>
      <w:proofErr w:type="gramStart"/>
      <w:r>
        <w:t>E’</w:t>
      </w:r>
      <w:proofErr w:type="gramEnd"/>
      <w:r>
        <w:t xml:space="preserve"> infatti singolare, oltreché incomprensibile, che </w:t>
      </w:r>
      <w:r w:rsidR="00A37967">
        <w:t xml:space="preserve">le “attenzioni fiscali” sui supposti extraprofitti </w:t>
      </w:r>
      <w:r w:rsidR="00A37967" w:rsidRPr="007A2391">
        <w:rPr>
          <w:b/>
          <w:bCs/>
        </w:rPr>
        <w:t xml:space="preserve">si concentrino esclusivamente sul settore </w:t>
      </w:r>
      <w:proofErr w:type="spellStart"/>
      <w:r w:rsidR="00A37967" w:rsidRPr="007A2391">
        <w:rPr>
          <w:b/>
          <w:bCs/>
        </w:rPr>
        <w:t>energy</w:t>
      </w:r>
      <w:proofErr w:type="spellEnd"/>
      <w:r w:rsidR="00A37967" w:rsidRPr="007A2391">
        <w:rPr>
          <w:b/>
          <w:bCs/>
        </w:rPr>
        <w:t>/power/</w:t>
      </w:r>
      <w:proofErr w:type="spellStart"/>
      <w:r w:rsidR="00A37967" w:rsidRPr="007A2391">
        <w:rPr>
          <w:b/>
          <w:bCs/>
        </w:rPr>
        <w:t>renewables</w:t>
      </w:r>
      <w:proofErr w:type="spellEnd"/>
      <w:r w:rsidR="00A37967">
        <w:t xml:space="preserve"> con crescente livello di intensità e complessità, </w:t>
      </w:r>
      <w:r w:rsidR="007A2391">
        <w:t xml:space="preserve">tralasciando invece </w:t>
      </w:r>
      <w:r w:rsidR="00A37967">
        <w:t xml:space="preserve">ad altri ambiti/settori che si sono avvantaggiati delle contingenze come se non </w:t>
      </w:r>
      <w:r w:rsidR="00544440">
        <w:t>più</w:t>
      </w:r>
      <w:r w:rsidR="00A37967">
        <w:t xml:space="preserve"> del nostro.</w:t>
      </w:r>
    </w:p>
    <w:p w14:paraId="625A89FC" w14:textId="13D2EB92" w:rsidR="00AB06FA" w:rsidRDefault="00AB06FA" w:rsidP="00C12D45">
      <w:pPr>
        <w:spacing w:after="0"/>
        <w:ind w:left="66"/>
        <w:jc w:val="both"/>
      </w:pPr>
    </w:p>
    <w:p w14:paraId="70B627E7" w14:textId="77777777" w:rsidR="00A37967" w:rsidRDefault="00A37967" w:rsidP="00CB29FD">
      <w:pPr>
        <w:pStyle w:val="Paragrafoelenco"/>
        <w:spacing w:after="0"/>
        <w:ind w:left="284"/>
        <w:contextualSpacing w:val="0"/>
        <w:jc w:val="center"/>
      </w:pPr>
    </w:p>
    <w:p w14:paraId="3000A72C" w14:textId="790FDD9F" w:rsidR="001D581F" w:rsidRDefault="00CB29FD" w:rsidP="00CB29FD">
      <w:pPr>
        <w:pStyle w:val="Paragrafoelenco"/>
        <w:spacing w:after="0"/>
        <w:ind w:left="284"/>
        <w:contextualSpacing w:val="0"/>
        <w:jc w:val="center"/>
      </w:pPr>
      <w:r>
        <w:t>***</w:t>
      </w:r>
    </w:p>
    <w:sectPr w:rsidR="001D581F" w:rsidSect="00CB29FD">
      <w:headerReference w:type="default" r:id="rId8"/>
      <w:footerReference w:type="default" r:id="rId9"/>
      <w:pgSz w:w="11906" w:h="16838"/>
      <w:pgMar w:top="2268" w:right="1134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D02C6" w14:textId="77777777" w:rsidR="00D615E5" w:rsidRDefault="00D615E5" w:rsidP="00617047">
      <w:pPr>
        <w:spacing w:after="0" w:line="240" w:lineRule="auto"/>
      </w:pPr>
      <w:r>
        <w:separator/>
      </w:r>
    </w:p>
  </w:endnote>
  <w:endnote w:type="continuationSeparator" w:id="0">
    <w:p w14:paraId="167B343D" w14:textId="77777777" w:rsidR="00D615E5" w:rsidRDefault="00D615E5" w:rsidP="0061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5453951"/>
      <w:docPartObj>
        <w:docPartGallery w:val="Page Numbers (Bottom of Page)"/>
        <w:docPartUnique/>
      </w:docPartObj>
    </w:sdtPr>
    <w:sdtEndPr/>
    <w:sdtContent>
      <w:p w14:paraId="50D5DB54" w14:textId="436B7C78" w:rsidR="006B7449" w:rsidRDefault="006B74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25BBC1" w14:textId="77777777" w:rsidR="006B7449" w:rsidRDefault="006B74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096C1" w14:textId="77777777" w:rsidR="00D615E5" w:rsidRDefault="00D615E5" w:rsidP="00617047">
      <w:pPr>
        <w:spacing w:after="0" w:line="240" w:lineRule="auto"/>
      </w:pPr>
      <w:r>
        <w:separator/>
      </w:r>
    </w:p>
  </w:footnote>
  <w:footnote w:type="continuationSeparator" w:id="0">
    <w:p w14:paraId="40DA6B8C" w14:textId="77777777" w:rsidR="00D615E5" w:rsidRDefault="00D615E5" w:rsidP="0061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51CB5" w14:textId="7F8044BC" w:rsidR="00EE1C94" w:rsidRDefault="00EE1C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62F1"/>
    <w:multiLevelType w:val="hybridMultilevel"/>
    <w:tmpl w:val="5F68749E"/>
    <w:lvl w:ilvl="0" w:tplc="C7EE6D02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A3C"/>
    <w:multiLevelType w:val="hybridMultilevel"/>
    <w:tmpl w:val="B0449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2948"/>
    <w:multiLevelType w:val="hybridMultilevel"/>
    <w:tmpl w:val="71A2EBCE"/>
    <w:lvl w:ilvl="0" w:tplc="E3A2714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D93ECA"/>
    <w:multiLevelType w:val="hybridMultilevel"/>
    <w:tmpl w:val="F7762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012B4"/>
    <w:multiLevelType w:val="hybridMultilevel"/>
    <w:tmpl w:val="A244ACD8"/>
    <w:lvl w:ilvl="0" w:tplc="CC06B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759B0"/>
    <w:multiLevelType w:val="hybridMultilevel"/>
    <w:tmpl w:val="964C6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41358"/>
    <w:multiLevelType w:val="hybridMultilevel"/>
    <w:tmpl w:val="77AA10FE"/>
    <w:lvl w:ilvl="0" w:tplc="9FB096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76365"/>
    <w:multiLevelType w:val="hybridMultilevel"/>
    <w:tmpl w:val="B08A27C2"/>
    <w:lvl w:ilvl="0" w:tplc="1924D9EE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F25"/>
    <w:multiLevelType w:val="hybridMultilevel"/>
    <w:tmpl w:val="B07E62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B478B7"/>
    <w:multiLevelType w:val="hybridMultilevel"/>
    <w:tmpl w:val="C3D446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B797F"/>
    <w:multiLevelType w:val="hybridMultilevel"/>
    <w:tmpl w:val="D082B01E"/>
    <w:lvl w:ilvl="0" w:tplc="021681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D3E220E"/>
    <w:multiLevelType w:val="hybridMultilevel"/>
    <w:tmpl w:val="4A681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B6DC7"/>
    <w:multiLevelType w:val="hybridMultilevel"/>
    <w:tmpl w:val="964C63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B1DDB"/>
    <w:multiLevelType w:val="hybridMultilevel"/>
    <w:tmpl w:val="B308B9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A4B58"/>
    <w:multiLevelType w:val="hybridMultilevel"/>
    <w:tmpl w:val="964C6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A69EB"/>
    <w:multiLevelType w:val="hybridMultilevel"/>
    <w:tmpl w:val="7960BF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4229FD"/>
    <w:multiLevelType w:val="hybridMultilevel"/>
    <w:tmpl w:val="05F86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F23D3"/>
    <w:multiLevelType w:val="hybridMultilevel"/>
    <w:tmpl w:val="8E9ED1CA"/>
    <w:lvl w:ilvl="0" w:tplc="325C665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E5503DD"/>
    <w:multiLevelType w:val="hybridMultilevel"/>
    <w:tmpl w:val="E8A009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76B97"/>
    <w:multiLevelType w:val="hybridMultilevel"/>
    <w:tmpl w:val="B896F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5591C"/>
    <w:multiLevelType w:val="hybridMultilevel"/>
    <w:tmpl w:val="AF1A27DE"/>
    <w:lvl w:ilvl="0" w:tplc="8ECE0A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96D2D"/>
    <w:multiLevelType w:val="hybridMultilevel"/>
    <w:tmpl w:val="6B4CAD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13"/>
  </w:num>
  <w:num w:numId="6">
    <w:abstractNumId w:val="18"/>
  </w:num>
  <w:num w:numId="7">
    <w:abstractNumId w:val="20"/>
  </w:num>
  <w:num w:numId="8">
    <w:abstractNumId w:val="1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5"/>
  </w:num>
  <w:num w:numId="12">
    <w:abstractNumId w:val="12"/>
  </w:num>
  <w:num w:numId="13">
    <w:abstractNumId w:val="0"/>
  </w:num>
  <w:num w:numId="14">
    <w:abstractNumId w:val="14"/>
  </w:num>
  <w:num w:numId="15">
    <w:abstractNumId w:val="5"/>
  </w:num>
  <w:num w:numId="16">
    <w:abstractNumId w:val="1"/>
  </w:num>
  <w:num w:numId="17">
    <w:abstractNumId w:val="11"/>
  </w:num>
  <w:num w:numId="18">
    <w:abstractNumId w:val="8"/>
  </w:num>
  <w:num w:numId="19">
    <w:abstractNumId w:val="21"/>
  </w:num>
  <w:num w:numId="20">
    <w:abstractNumId w:val="19"/>
  </w:num>
  <w:num w:numId="21">
    <w:abstractNumId w:val="10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69"/>
    <w:rsid w:val="0000023E"/>
    <w:rsid w:val="000037E3"/>
    <w:rsid w:val="00004674"/>
    <w:rsid w:val="00014530"/>
    <w:rsid w:val="0001570F"/>
    <w:rsid w:val="00020410"/>
    <w:rsid w:val="00021DAE"/>
    <w:rsid w:val="000248C3"/>
    <w:rsid w:val="00034D1F"/>
    <w:rsid w:val="00045A5F"/>
    <w:rsid w:val="00047118"/>
    <w:rsid w:val="00051389"/>
    <w:rsid w:val="00063DC7"/>
    <w:rsid w:val="00063FD1"/>
    <w:rsid w:val="00065D79"/>
    <w:rsid w:val="00076D5A"/>
    <w:rsid w:val="00084060"/>
    <w:rsid w:val="00085A9C"/>
    <w:rsid w:val="0008671B"/>
    <w:rsid w:val="00087412"/>
    <w:rsid w:val="0009013A"/>
    <w:rsid w:val="00090D7A"/>
    <w:rsid w:val="000936CF"/>
    <w:rsid w:val="00096071"/>
    <w:rsid w:val="00097B89"/>
    <w:rsid w:val="00097BE9"/>
    <w:rsid w:val="000A7E23"/>
    <w:rsid w:val="000B7031"/>
    <w:rsid w:val="000C1164"/>
    <w:rsid w:val="000C2269"/>
    <w:rsid w:val="000C40DC"/>
    <w:rsid w:val="000C46D4"/>
    <w:rsid w:val="000C5C57"/>
    <w:rsid w:val="000C76DE"/>
    <w:rsid w:val="000D101C"/>
    <w:rsid w:val="000D3EE7"/>
    <w:rsid w:val="000D452E"/>
    <w:rsid w:val="000D78CF"/>
    <w:rsid w:val="000E0412"/>
    <w:rsid w:val="000F3CFD"/>
    <w:rsid w:val="001004D7"/>
    <w:rsid w:val="001067E6"/>
    <w:rsid w:val="00112DA5"/>
    <w:rsid w:val="001138A8"/>
    <w:rsid w:val="00114F9E"/>
    <w:rsid w:val="00123723"/>
    <w:rsid w:val="00125638"/>
    <w:rsid w:val="00131F7D"/>
    <w:rsid w:val="0014149F"/>
    <w:rsid w:val="0014249E"/>
    <w:rsid w:val="001474C7"/>
    <w:rsid w:val="001479C2"/>
    <w:rsid w:val="00157D7A"/>
    <w:rsid w:val="001653E7"/>
    <w:rsid w:val="00165901"/>
    <w:rsid w:val="001667C7"/>
    <w:rsid w:val="00166F14"/>
    <w:rsid w:val="001741F0"/>
    <w:rsid w:val="00181199"/>
    <w:rsid w:val="0018532D"/>
    <w:rsid w:val="001860B8"/>
    <w:rsid w:val="001923E5"/>
    <w:rsid w:val="0019397B"/>
    <w:rsid w:val="00197C10"/>
    <w:rsid w:val="001A6404"/>
    <w:rsid w:val="001B484A"/>
    <w:rsid w:val="001C126F"/>
    <w:rsid w:val="001C55CB"/>
    <w:rsid w:val="001D3543"/>
    <w:rsid w:val="001D5272"/>
    <w:rsid w:val="001D581F"/>
    <w:rsid w:val="001D5CBD"/>
    <w:rsid w:val="001D6F3A"/>
    <w:rsid w:val="001E3FCE"/>
    <w:rsid w:val="001E66B9"/>
    <w:rsid w:val="001E6EA6"/>
    <w:rsid w:val="001F10D0"/>
    <w:rsid w:val="001F1D35"/>
    <w:rsid w:val="001F2846"/>
    <w:rsid w:val="001F4FC3"/>
    <w:rsid w:val="001F6CB4"/>
    <w:rsid w:val="002043BC"/>
    <w:rsid w:val="00211A9F"/>
    <w:rsid w:val="00213394"/>
    <w:rsid w:val="0021411B"/>
    <w:rsid w:val="00216310"/>
    <w:rsid w:val="0021672F"/>
    <w:rsid w:val="0022049A"/>
    <w:rsid w:val="00226C1F"/>
    <w:rsid w:val="00233CC1"/>
    <w:rsid w:val="00234291"/>
    <w:rsid w:val="00237322"/>
    <w:rsid w:val="00237B9D"/>
    <w:rsid w:val="002410FC"/>
    <w:rsid w:val="002412CF"/>
    <w:rsid w:val="002469FA"/>
    <w:rsid w:val="00264C3B"/>
    <w:rsid w:val="002735B1"/>
    <w:rsid w:val="002739D2"/>
    <w:rsid w:val="002800AA"/>
    <w:rsid w:val="00280DE3"/>
    <w:rsid w:val="00282181"/>
    <w:rsid w:val="00291280"/>
    <w:rsid w:val="00292A99"/>
    <w:rsid w:val="00295EF0"/>
    <w:rsid w:val="002A2202"/>
    <w:rsid w:val="002A6737"/>
    <w:rsid w:val="002A6771"/>
    <w:rsid w:val="002B08D3"/>
    <w:rsid w:val="002B2314"/>
    <w:rsid w:val="002B3D2D"/>
    <w:rsid w:val="002C0765"/>
    <w:rsid w:val="002C15D4"/>
    <w:rsid w:val="002C56FC"/>
    <w:rsid w:val="002C6107"/>
    <w:rsid w:val="002C7C93"/>
    <w:rsid w:val="002D5DDF"/>
    <w:rsid w:val="002E1613"/>
    <w:rsid w:val="002E2614"/>
    <w:rsid w:val="002E4F1D"/>
    <w:rsid w:val="00303142"/>
    <w:rsid w:val="00307AEB"/>
    <w:rsid w:val="00307D7D"/>
    <w:rsid w:val="00311B92"/>
    <w:rsid w:val="00314513"/>
    <w:rsid w:val="003173AA"/>
    <w:rsid w:val="003208B2"/>
    <w:rsid w:val="00320F28"/>
    <w:rsid w:val="00322C69"/>
    <w:rsid w:val="003237CC"/>
    <w:rsid w:val="00325CFF"/>
    <w:rsid w:val="00325E58"/>
    <w:rsid w:val="00326E07"/>
    <w:rsid w:val="00327E62"/>
    <w:rsid w:val="0033559D"/>
    <w:rsid w:val="003435E9"/>
    <w:rsid w:val="0034571F"/>
    <w:rsid w:val="00350546"/>
    <w:rsid w:val="00350CCD"/>
    <w:rsid w:val="0035118F"/>
    <w:rsid w:val="00353FE9"/>
    <w:rsid w:val="0035535E"/>
    <w:rsid w:val="00355879"/>
    <w:rsid w:val="00364E7F"/>
    <w:rsid w:val="00372F7D"/>
    <w:rsid w:val="003766B4"/>
    <w:rsid w:val="0038284D"/>
    <w:rsid w:val="00390109"/>
    <w:rsid w:val="00390C5B"/>
    <w:rsid w:val="00390FC0"/>
    <w:rsid w:val="00391A9F"/>
    <w:rsid w:val="00392C89"/>
    <w:rsid w:val="00395F58"/>
    <w:rsid w:val="0039673E"/>
    <w:rsid w:val="00396B2C"/>
    <w:rsid w:val="00397D63"/>
    <w:rsid w:val="003A1E54"/>
    <w:rsid w:val="003A247F"/>
    <w:rsid w:val="003A5C38"/>
    <w:rsid w:val="003B28B9"/>
    <w:rsid w:val="003B3B16"/>
    <w:rsid w:val="003B4FE6"/>
    <w:rsid w:val="003B6337"/>
    <w:rsid w:val="003B688E"/>
    <w:rsid w:val="003C0D63"/>
    <w:rsid w:val="003C4355"/>
    <w:rsid w:val="003C4413"/>
    <w:rsid w:val="003C6E59"/>
    <w:rsid w:val="003C7F7D"/>
    <w:rsid w:val="003E1C03"/>
    <w:rsid w:val="003E519A"/>
    <w:rsid w:val="003E5A72"/>
    <w:rsid w:val="003F1BE8"/>
    <w:rsid w:val="003F7150"/>
    <w:rsid w:val="004041D8"/>
    <w:rsid w:val="00407636"/>
    <w:rsid w:val="0041303C"/>
    <w:rsid w:val="00414F0E"/>
    <w:rsid w:val="00425E23"/>
    <w:rsid w:val="004263FF"/>
    <w:rsid w:val="00427610"/>
    <w:rsid w:val="00432351"/>
    <w:rsid w:val="00435309"/>
    <w:rsid w:val="00445F98"/>
    <w:rsid w:val="004557CA"/>
    <w:rsid w:val="00455AB9"/>
    <w:rsid w:val="00457D20"/>
    <w:rsid w:val="00464FF0"/>
    <w:rsid w:val="00465C06"/>
    <w:rsid w:val="00476C55"/>
    <w:rsid w:val="00480116"/>
    <w:rsid w:val="00492D3D"/>
    <w:rsid w:val="004A00FD"/>
    <w:rsid w:val="004B1C03"/>
    <w:rsid w:val="004B255A"/>
    <w:rsid w:val="004B2941"/>
    <w:rsid w:val="004B579E"/>
    <w:rsid w:val="004B6860"/>
    <w:rsid w:val="004B6AC3"/>
    <w:rsid w:val="004B76F8"/>
    <w:rsid w:val="004C00B2"/>
    <w:rsid w:val="004C14BE"/>
    <w:rsid w:val="004C30FA"/>
    <w:rsid w:val="004C3874"/>
    <w:rsid w:val="004C3F2D"/>
    <w:rsid w:val="004C421B"/>
    <w:rsid w:val="004E2A32"/>
    <w:rsid w:val="004E5A6A"/>
    <w:rsid w:val="004E5C68"/>
    <w:rsid w:val="004F0025"/>
    <w:rsid w:val="004F215F"/>
    <w:rsid w:val="004F3592"/>
    <w:rsid w:val="004F4638"/>
    <w:rsid w:val="004F63AB"/>
    <w:rsid w:val="00500EE3"/>
    <w:rsid w:val="00500FD2"/>
    <w:rsid w:val="005060C5"/>
    <w:rsid w:val="00515C75"/>
    <w:rsid w:val="00520ABE"/>
    <w:rsid w:val="005212FB"/>
    <w:rsid w:val="00523EFF"/>
    <w:rsid w:val="00525191"/>
    <w:rsid w:val="005259D4"/>
    <w:rsid w:val="00525DD3"/>
    <w:rsid w:val="005267B8"/>
    <w:rsid w:val="00530549"/>
    <w:rsid w:val="00537603"/>
    <w:rsid w:val="00540298"/>
    <w:rsid w:val="00544440"/>
    <w:rsid w:val="00544AA3"/>
    <w:rsid w:val="00562794"/>
    <w:rsid w:val="00565FC8"/>
    <w:rsid w:val="00581B26"/>
    <w:rsid w:val="00585490"/>
    <w:rsid w:val="005860CB"/>
    <w:rsid w:val="005902EF"/>
    <w:rsid w:val="0059134E"/>
    <w:rsid w:val="00594283"/>
    <w:rsid w:val="005B0159"/>
    <w:rsid w:val="005B05E4"/>
    <w:rsid w:val="005B1D49"/>
    <w:rsid w:val="005C1A3E"/>
    <w:rsid w:val="005C637B"/>
    <w:rsid w:val="005D58C9"/>
    <w:rsid w:val="005D616B"/>
    <w:rsid w:val="005E54F3"/>
    <w:rsid w:val="005E78F6"/>
    <w:rsid w:val="005F490E"/>
    <w:rsid w:val="00601685"/>
    <w:rsid w:val="006028CD"/>
    <w:rsid w:val="00617047"/>
    <w:rsid w:val="00621FA7"/>
    <w:rsid w:val="006232BB"/>
    <w:rsid w:val="0062499D"/>
    <w:rsid w:val="006250F7"/>
    <w:rsid w:val="00626FDB"/>
    <w:rsid w:val="006312A3"/>
    <w:rsid w:val="00632B52"/>
    <w:rsid w:val="00635573"/>
    <w:rsid w:val="0063570C"/>
    <w:rsid w:val="006407C1"/>
    <w:rsid w:val="00640E95"/>
    <w:rsid w:val="00641F15"/>
    <w:rsid w:val="00643C78"/>
    <w:rsid w:val="00655EB3"/>
    <w:rsid w:val="006570E4"/>
    <w:rsid w:val="00663BA6"/>
    <w:rsid w:val="00664261"/>
    <w:rsid w:val="006663F0"/>
    <w:rsid w:val="00666718"/>
    <w:rsid w:val="00667931"/>
    <w:rsid w:val="00667972"/>
    <w:rsid w:val="00670A78"/>
    <w:rsid w:val="0067505E"/>
    <w:rsid w:val="00675A3D"/>
    <w:rsid w:val="006838C4"/>
    <w:rsid w:val="00685EA2"/>
    <w:rsid w:val="00692C02"/>
    <w:rsid w:val="006A49A0"/>
    <w:rsid w:val="006A608B"/>
    <w:rsid w:val="006A61A6"/>
    <w:rsid w:val="006A69CE"/>
    <w:rsid w:val="006B7449"/>
    <w:rsid w:val="006D0191"/>
    <w:rsid w:val="006D04CD"/>
    <w:rsid w:val="006D61AB"/>
    <w:rsid w:val="006D6ADB"/>
    <w:rsid w:val="006D734A"/>
    <w:rsid w:val="006E330E"/>
    <w:rsid w:val="006F12E7"/>
    <w:rsid w:val="006F18E2"/>
    <w:rsid w:val="006F6B56"/>
    <w:rsid w:val="007001C4"/>
    <w:rsid w:val="00702F6A"/>
    <w:rsid w:val="00705EB6"/>
    <w:rsid w:val="00711D35"/>
    <w:rsid w:val="00712B55"/>
    <w:rsid w:val="00714BC4"/>
    <w:rsid w:val="00716916"/>
    <w:rsid w:val="0071743E"/>
    <w:rsid w:val="00722D7F"/>
    <w:rsid w:val="00723DBC"/>
    <w:rsid w:val="007247DF"/>
    <w:rsid w:val="00730B99"/>
    <w:rsid w:val="007340A9"/>
    <w:rsid w:val="007343E7"/>
    <w:rsid w:val="007355C1"/>
    <w:rsid w:val="007373DE"/>
    <w:rsid w:val="00745ACF"/>
    <w:rsid w:val="00752A97"/>
    <w:rsid w:val="007562F9"/>
    <w:rsid w:val="00757B08"/>
    <w:rsid w:val="00762F5A"/>
    <w:rsid w:val="00767787"/>
    <w:rsid w:val="00772046"/>
    <w:rsid w:val="00775F26"/>
    <w:rsid w:val="00780848"/>
    <w:rsid w:val="007826B5"/>
    <w:rsid w:val="00787A73"/>
    <w:rsid w:val="00790240"/>
    <w:rsid w:val="00792EFC"/>
    <w:rsid w:val="00796420"/>
    <w:rsid w:val="007A2391"/>
    <w:rsid w:val="007A3243"/>
    <w:rsid w:val="007A4843"/>
    <w:rsid w:val="007A6FE1"/>
    <w:rsid w:val="007B19F2"/>
    <w:rsid w:val="007B1D65"/>
    <w:rsid w:val="007B5B52"/>
    <w:rsid w:val="007C13F1"/>
    <w:rsid w:val="007C19AA"/>
    <w:rsid w:val="007C2D89"/>
    <w:rsid w:val="007D16CD"/>
    <w:rsid w:val="007E2A32"/>
    <w:rsid w:val="007E47CB"/>
    <w:rsid w:val="007E72A9"/>
    <w:rsid w:val="00802B99"/>
    <w:rsid w:val="00803368"/>
    <w:rsid w:val="008068BA"/>
    <w:rsid w:val="00813EED"/>
    <w:rsid w:val="00814762"/>
    <w:rsid w:val="0082073F"/>
    <w:rsid w:val="00822B53"/>
    <w:rsid w:val="008260A3"/>
    <w:rsid w:val="008368A4"/>
    <w:rsid w:val="008373B6"/>
    <w:rsid w:val="00842662"/>
    <w:rsid w:val="008448B6"/>
    <w:rsid w:val="0084613A"/>
    <w:rsid w:val="00856B8C"/>
    <w:rsid w:val="0088205D"/>
    <w:rsid w:val="0088696A"/>
    <w:rsid w:val="0089502D"/>
    <w:rsid w:val="00896B86"/>
    <w:rsid w:val="008A17AE"/>
    <w:rsid w:val="008A76C9"/>
    <w:rsid w:val="008B1F68"/>
    <w:rsid w:val="008B497E"/>
    <w:rsid w:val="008D2138"/>
    <w:rsid w:val="008D3A8C"/>
    <w:rsid w:val="008E404A"/>
    <w:rsid w:val="008F1F21"/>
    <w:rsid w:val="008F1F3D"/>
    <w:rsid w:val="008F2A21"/>
    <w:rsid w:val="008F326C"/>
    <w:rsid w:val="008F3A1B"/>
    <w:rsid w:val="00900768"/>
    <w:rsid w:val="00901F17"/>
    <w:rsid w:val="00902F7D"/>
    <w:rsid w:val="00906975"/>
    <w:rsid w:val="0091254C"/>
    <w:rsid w:val="00920BC2"/>
    <w:rsid w:val="009258D4"/>
    <w:rsid w:val="009274B4"/>
    <w:rsid w:val="00931A78"/>
    <w:rsid w:val="00953B48"/>
    <w:rsid w:val="00955724"/>
    <w:rsid w:val="009662B3"/>
    <w:rsid w:val="00971D0C"/>
    <w:rsid w:val="0098046D"/>
    <w:rsid w:val="00980D44"/>
    <w:rsid w:val="009829EE"/>
    <w:rsid w:val="00986771"/>
    <w:rsid w:val="00991CC5"/>
    <w:rsid w:val="00991ED2"/>
    <w:rsid w:val="009974F5"/>
    <w:rsid w:val="009A080D"/>
    <w:rsid w:val="009A4251"/>
    <w:rsid w:val="009A4870"/>
    <w:rsid w:val="009A4BBC"/>
    <w:rsid w:val="009B1DE5"/>
    <w:rsid w:val="009C485A"/>
    <w:rsid w:val="009D2B55"/>
    <w:rsid w:val="009D326A"/>
    <w:rsid w:val="009E1EF3"/>
    <w:rsid w:val="009E4855"/>
    <w:rsid w:val="009F2229"/>
    <w:rsid w:val="009F69B1"/>
    <w:rsid w:val="009F716F"/>
    <w:rsid w:val="00A00629"/>
    <w:rsid w:val="00A00754"/>
    <w:rsid w:val="00A05EF4"/>
    <w:rsid w:val="00A154C6"/>
    <w:rsid w:val="00A17393"/>
    <w:rsid w:val="00A175E1"/>
    <w:rsid w:val="00A17949"/>
    <w:rsid w:val="00A179C9"/>
    <w:rsid w:val="00A17D2A"/>
    <w:rsid w:val="00A20B6D"/>
    <w:rsid w:val="00A239E0"/>
    <w:rsid w:val="00A23EC0"/>
    <w:rsid w:val="00A24C97"/>
    <w:rsid w:val="00A27900"/>
    <w:rsid w:val="00A305DE"/>
    <w:rsid w:val="00A332F6"/>
    <w:rsid w:val="00A369B2"/>
    <w:rsid w:val="00A37967"/>
    <w:rsid w:val="00A37DFA"/>
    <w:rsid w:val="00A4034E"/>
    <w:rsid w:val="00A41E2A"/>
    <w:rsid w:val="00A422EF"/>
    <w:rsid w:val="00A53E86"/>
    <w:rsid w:val="00A55BA2"/>
    <w:rsid w:val="00A569D2"/>
    <w:rsid w:val="00A5748C"/>
    <w:rsid w:val="00A608A7"/>
    <w:rsid w:val="00A61F74"/>
    <w:rsid w:val="00A71D8B"/>
    <w:rsid w:val="00A71FF1"/>
    <w:rsid w:val="00A73C02"/>
    <w:rsid w:val="00A7764B"/>
    <w:rsid w:val="00A80F40"/>
    <w:rsid w:val="00A829A0"/>
    <w:rsid w:val="00A900F0"/>
    <w:rsid w:val="00A94217"/>
    <w:rsid w:val="00AA41A1"/>
    <w:rsid w:val="00AA4A7F"/>
    <w:rsid w:val="00AA7D01"/>
    <w:rsid w:val="00AB0025"/>
    <w:rsid w:val="00AB06FA"/>
    <w:rsid w:val="00AB7A4B"/>
    <w:rsid w:val="00AC154E"/>
    <w:rsid w:val="00AC386C"/>
    <w:rsid w:val="00AC64AA"/>
    <w:rsid w:val="00AD0E70"/>
    <w:rsid w:val="00AD0FA0"/>
    <w:rsid w:val="00AD3FE5"/>
    <w:rsid w:val="00AE1144"/>
    <w:rsid w:val="00AF5F58"/>
    <w:rsid w:val="00AF7AA9"/>
    <w:rsid w:val="00B000F5"/>
    <w:rsid w:val="00B11B3D"/>
    <w:rsid w:val="00B13E2D"/>
    <w:rsid w:val="00B1561E"/>
    <w:rsid w:val="00B16489"/>
    <w:rsid w:val="00B17D8D"/>
    <w:rsid w:val="00B23085"/>
    <w:rsid w:val="00B3074B"/>
    <w:rsid w:val="00B33A6E"/>
    <w:rsid w:val="00B34939"/>
    <w:rsid w:val="00B375EC"/>
    <w:rsid w:val="00B5474A"/>
    <w:rsid w:val="00B6548E"/>
    <w:rsid w:val="00B66474"/>
    <w:rsid w:val="00B71DF9"/>
    <w:rsid w:val="00B7456B"/>
    <w:rsid w:val="00B775E6"/>
    <w:rsid w:val="00B852B7"/>
    <w:rsid w:val="00B92639"/>
    <w:rsid w:val="00B93D2B"/>
    <w:rsid w:val="00B951CD"/>
    <w:rsid w:val="00BA2E06"/>
    <w:rsid w:val="00BA661D"/>
    <w:rsid w:val="00BB07DA"/>
    <w:rsid w:val="00BB11B3"/>
    <w:rsid w:val="00BB11C0"/>
    <w:rsid w:val="00BB39AC"/>
    <w:rsid w:val="00BC34B9"/>
    <w:rsid w:val="00BC5AB9"/>
    <w:rsid w:val="00BC7672"/>
    <w:rsid w:val="00BD273E"/>
    <w:rsid w:val="00BE0957"/>
    <w:rsid w:val="00BE4EDE"/>
    <w:rsid w:val="00BE7302"/>
    <w:rsid w:val="00BF04CE"/>
    <w:rsid w:val="00BF3765"/>
    <w:rsid w:val="00BF50A5"/>
    <w:rsid w:val="00BF5235"/>
    <w:rsid w:val="00BF76F8"/>
    <w:rsid w:val="00C0004E"/>
    <w:rsid w:val="00C106DE"/>
    <w:rsid w:val="00C111D3"/>
    <w:rsid w:val="00C11D68"/>
    <w:rsid w:val="00C12D45"/>
    <w:rsid w:val="00C20A2C"/>
    <w:rsid w:val="00C318C2"/>
    <w:rsid w:val="00C31EDB"/>
    <w:rsid w:val="00C32B83"/>
    <w:rsid w:val="00C3449B"/>
    <w:rsid w:val="00C409C5"/>
    <w:rsid w:val="00C446A0"/>
    <w:rsid w:val="00C447E8"/>
    <w:rsid w:val="00C44BE9"/>
    <w:rsid w:val="00C50E23"/>
    <w:rsid w:val="00C51DF8"/>
    <w:rsid w:val="00C55F44"/>
    <w:rsid w:val="00C600B8"/>
    <w:rsid w:val="00C64073"/>
    <w:rsid w:val="00C701B1"/>
    <w:rsid w:val="00C91A26"/>
    <w:rsid w:val="00C94741"/>
    <w:rsid w:val="00CA0F37"/>
    <w:rsid w:val="00CA6AF8"/>
    <w:rsid w:val="00CA748D"/>
    <w:rsid w:val="00CA7847"/>
    <w:rsid w:val="00CB1DEF"/>
    <w:rsid w:val="00CB29FD"/>
    <w:rsid w:val="00CB341F"/>
    <w:rsid w:val="00CB3D2C"/>
    <w:rsid w:val="00CB4EE4"/>
    <w:rsid w:val="00CC426F"/>
    <w:rsid w:val="00CC4ED2"/>
    <w:rsid w:val="00CC64B6"/>
    <w:rsid w:val="00CC6F95"/>
    <w:rsid w:val="00CC7396"/>
    <w:rsid w:val="00CD33EC"/>
    <w:rsid w:val="00CE3003"/>
    <w:rsid w:val="00CE33DC"/>
    <w:rsid w:val="00CE42CB"/>
    <w:rsid w:val="00CE54E0"/>
    <w:rsid w:val="00CF4D7A"/>
    <w:rsid w:val="00CF73BF"/>
    <w:rsid w:val="00CF7FF7"/>
    <w:rsid w:val="00D05503"/>
    <w:rsid w:val="00D107D4"/>
    <w:rsid w:val="00D20A3F"/>
    <w:rsid w:val="00D44BBF"/>
    <w:rsid w:val="00D47F10"/>
    <w:rsid w:val="00D47FEC"/>
    <w:rsid w:val="00D51704"/>
    <w:rsid w:val="00D520CA"/>
    <w:rsid w:val="00D55CD2"/>
    <w:rsid w:val="00D56ADE"/>
    <w:rsid w:val="00D615E5"/>
    <w:rsid w:val="00D63FE2"/>
    <w:rsid w:val="00D64A01"/>
    <w:rsid w:val="00D76A01"/>
    <w:rsid w:val="00D777D7"/>
    <w:rsid w:val="00D77D86"/>
    <w:rsid w:val="00D9171C"/>
    <w:rsid w:val="00D91D7D"/>
    <w:rsid w:val="00D92009"/>
    <w:rsid w:val="00D9387F"/>
    <w:rsid w:val="00D938DB"/>
    <w:rsid w:val="00DA0DB4"/>
    <w:rsid w:val="00DA1B20"/>
    <w:rsid w:val="00DA4EB8"/>
    <w:rsid w:val="00DB35CA"/>
    <w:rsid w:val="00DB7246"/>
    <w:rsid w:val="00DB7880"/>
    <w:rsid w:val="00DD133F"/>
    <w:rsid w:val="00DD2458"/>
    <w:rsid w:val="00DD2536"/>
    <w:rsid w:val="00DD4996"/>
    <w:rsid w:val="00DE33D2"/>
    <w:rsid w:val="00DE3837"/>
    <w:rsid w:val="00DF20AB"/>
    <w:rsid w:val="00DF599E"/>
    <w:rsid w:val="00DF7388"/>
    <w:rsid w:val="00E10EA4"/>
    <w:rsid w:val="00E12862"/>
    <w:rsid w:val="00E14C69"/>
    <w:rsid w:val="00E15FAB"/>
    <w:rsid w:val="00E16F54"/>
    <w:rsid w:val="00E20288"/>
    <w:rsid w:val="00E23757"/>
    <w:rsid w:val="00E24758"/>
    <w:rsid w:val="00E37CC2"/>
    <w:rsid w:val="00E40371"/>
    <w:rsid w:val="00E42FF8"/>
    <w:rsid w:val="00E43793"/>
    <w:rsid w:val="00E43967"/>
    <w:rsid w:val="00E440DF"/>
    <w:rsid w:val="00E4507A"/>
    <w:rsid w:val="00E51197"/>
    <w:rsid w:val="00E5496E"/>
    <w:rsid w:val="00E606C4"/>
    <w:rsid w:val="00E60C87"/>
    <w:rsid w:val="00E64AF8"/>
    <w:rsid w:val="00E70C9F"/>
    <w:rsid w:val="00E7613A"/>
    <w:rsid w:val="00E80918"/>
    <w:rsid w:val="00E80941"/>
    <w:rsid w:val="00E922C4"/>
    <w:rsid w:val="00E97441"/>
    <w:rsid w:val="00EA1990"/>
    <w:rsid w:val="00EA3116"/>
    <w:rsid w:val="00EA5A97"/>
    <w:rsid w:val="00EB019E"/>
    <w:rsid w:val="00EB078A"/>
    <w:rsid w:val="00EB1B2F"/>
    <w:rsid w:val="00EB1C6F"/>
    <w:rsid w:val="00EB401D"/>
    <w:rsid w:val="00EB46EF"/>
    <w:rsid w:val="00EC1B4D"/>
    <w:rsid w:val="00EC653D"/>
    <w:rsid w:val="00EC7475"/>
    <w:rsid w:val="00ED2EB8"/>
    <w:rsid w:val="00ED52A1"/>
    <w:rsid w:val="00ED683F"/>
    <w:rsid w:val="00EE0EF5"/>
    <w:rsid w:val="00EE17D4"/>
    <w:rsid w:val="00EE1C94"/>
    <w:rsid w:val="00EE29D5"/>
    <w:rsid w:val="00EE6591"/>
    <w:rsid w:val="00EF30B9"/>
    <w:rsid w:val="00F03960"/>
    <w:rsid w:val="00F06612"/>
    <w:rsid w:val="00F1716A"/>
    <w:rsid w:val="00F25479"/>
    <w:rsid w:val="00F27865"/>
    <w:rsid w:val="00F27887"/>
    <w:rsid w:val="00F339F6"/>
    <w:rsid w:val="00F42C36"/>
    <w:rsid w:val="00F51A20"/>
    <w:rsid w:val="00F61EC3"/>
    <w:rsid w:val="00F6704F"/>
    <w:rsid w:val="00F70188"/>
    <w:rsid w:val="00F741CD"/>
    <w:rsid w:val="00F7491A"/>
    <w:rsid w:val="00F74948"/>
    <w:rsid w:val="00F839E3"/>
    <w:rsid w:val="00F85258"/>
    <w:rsid w:val="00F87091"/>
    <w:rsid w:val="00F91E2B"/>
    <w:rsid w:val="00FA058E"/>
    <w:rsid w:val="00FA0DC3"/>
    <w:rsid w:val="00FA3F53"/>
    <w:rsid w:val="00FA557F"/>
    <w:rsid w:val="00FA65AD"/>
    <w:rsid w:val="00FA788E"/>
    <w:rsid w:val="00FB4738"/>
    <w:rsid w:val="00FB73BC"/>
    <w:rsid w:val="00FC16D8"/>
    <w:rsid w:val="00FC2ED0"/>
    <w:rsid w:val="00FD4025"/>
    <w:rsid w:val="00FD5D03"/>
    <w:rsid w:val="00FD63F4"/>
    <w:rsid w:val="00FE2F3F"/>
    <w:rsid w:val="00FE38B8"/>
    <w:rsid w:val="00FE3B4F"/>
    <w:rsid w:val="00FE4A35"/>
    <w:rsid w:val="00FE640F"/>
    <w:rsid w:val="00FE696C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74050"/>
  <w15:chartTrackingRefBased/>
  <w15:docId w15:val="{B52B308B-80D2-45FA-AE70-E2EEC76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2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2C6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A788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A78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A788E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CB4E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B4E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B4E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4E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4EE4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5B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B1D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E1C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C94"/>
  </w:style>
  <w:style w:type="paragraph" w:styleId="Pidipagina">
    <w:name w:val="footer"/>
    <w:basedOn w:val="Normale"/>
    <w:link w:val="PidipaginaCarattere"/>
    <w:uiPriority w:val="99"/>
    <w:unhideWhenUsed/>
    <w:rsid w:val="00EE1C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C94"/>
  </w:style>
  <w:style w:type="character" w:styleId="Collegamentoipertestuale">
    <w:name w:val="Hyperlink"/>
    <w:basedOn w:val="Carpredefinitoparagrafo"/>
    <w:uiPriority w:val="99"/>
    <w:unhideWhenUsed/>
    <w:rsid w:val="004B6A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6AC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73C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B1549-DAC6-4C14-8C2E-E8C2DC9E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Lagostena Alessandro</dc:creator>
  <cp:keywords/>
  <dc:description/>
  <cp:lastModifiedBy>silvia.martone</cp:lastModifiedBy>
  <cp:revision>3</cp:revision>
  <dcterms:created xsi:type="dcterms:W3CDTF">2022-11-23T08:38:00Z</dcterms:created>
  <dcterms:modified xsi:type="dcterms:W3CDTF">2022-11-23T08:41:00Z</dcterms:modified>
</cp:coreProperties>
</file>